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ayout w:type="fixed"/>
        <w:tblLook w:val="01E0" w:firstRow="1" w:lastRow="1" w:firstColumn="1" w:lastColumn="1" w:noHBand="0" w:noVBand="0"/>
      </w:tblPr>
      <w:tblGrid>
        <w:gridCol w:w="4680"/>
        <w:gridCol w:w="4680"/>
      </w:tblGrid>
      <w:tr w:rsidR="00AD3332" w:rsidRPr="0069784D" w14:paraId="5DF10B60" w14:textId="77777777" w:rsidTr="00AD3332">
        <w:trPr>
          <w:trHeight w:val="1429"/>
        </w:trPr>
        <w:tc>
          <w:tcPr>
            <w:tcW w:w="4680" w:type="dxa"/>
            <w:tcMar>
              <w:top w:w="57" w:type="dxa"/>
              <w:left w:w="0" w:type="dxa"/>
            </w:tcMar>
          </w:tcPr>
          <w:p w14:paraId="044D2E5E" w14:textId="77777777" w:rsidR="00AD3332" w:rsidRPr="0069784D" w:rsidRDefault="00AD3332" w:rsidP="009C15CF">
            <w:pPr>
              <w:pStyle w:val="StyleHeading1After0ptLinespacingExactly23pt"/>
              <w:spacing w:line="240" w:lineRule="auto"/>
              <w:jc w:val="both"/>
              <w:rPr>
                <w:rFonts w:cs="Arial"/>
                <w:sz w:val="36"/>
                <w:lang w:val="fr-FR"/>
              </w:rPr>
            </w:pPr>
            <w:bookmarkStart w:id="0" w:name="_Toc104132225"/>
            <w:r w:rsidRPr="0069784D">
              <w:rPr>
                <w:rFonts w:cs="Arial"/>
                <w:sz w:val="36"/>
                <w:lang w:val="fr-FR"/>
              </w:rPr>
              <w:t>Collège des procureurs généraux</w:t>
            </w:r>
            <w:bookmarkEnd w:id="0"/>
          </w:p>
          <w:p w14:paraId="1FF883D3" w14:textId="77777777" w:rsidR="00AD3332" w:rsidRPr="0069784D" w:rsidRDefault="00AD3332" w:rsidP="009C15CF">
            <w:pPr>
              <w:pStyle w:val="StyleHeading1After0ptLinespacingExactly23pt"/>
              <w:spacing w:line="240" w:lineRule="auto"/>
              <w:jc w:val="both"/>
              <w:rPr>
                <w:rFonts w:cs="Arial"/>
                <w:sz w:val="36"/>
                <w:lang w:val="fr-FR"/>
              </w:rPr>
            </w:pPr>
          </w:p>
        </w:tc>
        <w:tc>
          <w:tcPr>
            <w:tcW w:w="4680" w:type="dxa"/>
            <w:tcMar>
              <w:top w:w="57" w:type="dxa"/>
              <w:left w:w="0" w:type="dxa"/>
            </w:tcMar>
          </w:tcPr>
          <w:p w14:paraId="1BE5E78F" w14:textId="64FD4C6F" w:rsidR="00AD3332" w:rsidRPr="0069784D" w:rsidRDefault="00AD3332" w:rsidP="009C15CF">
            <w:pPr>
              <w:pStyle w:val="StyleHeading1After0ptLinespacingExactly23pt"/>
              <w:spacing w:line="240" w:lineRule="auto"/>
              <w:ind w:left="113"/>
              <w:jc w:val="both"/>
              <w:rPr>
                <w:rFonts w:cs="Arial"/>
                <w:lang w:val="nl-BE"/>
              </w:rPr>
            </w:pPr>
            <w:bookmarkStart w:id="1" w:name="_Toc104132226"/>
            <w:r w:rsidRPr="0069784D">
              <w:rPr>
                <w:rFonts w:cs="Arial"/>
                <w:sz w:val="36"/>
                <w:lang w:val="nl-BE"/>
              </w:rPr>
              <w:t>College van Procureurs-generaal</w:t>
            </w:r>
            <w:bookmarkEnd w:id="1"/>
          </w:p>
        </w:tc>
      </w:tr>
      <w:tr w:rsidR="00AD3332" w:rsidRPr="0069784D" w14:paraId="74ABB30D" w14:textId="77777777" w:rsidTr="00AD3332">
        <w:tc>
          <w:tcPr>
            <w:tcW w:w="4680" w:type="dxa"/>
            <w:tcMar>
              <w:top w:w="57" w:type="dxa"/>
              <w:left w:w="0" w:type="dxa"/>
            </w:tcMar>
          </w:tcPr>
          <w:p w14:paraId="034E4516" w14:textId="1B67F100" w:rsidR="00AD3332" w:rsidRPr="0069784D" w:rsidRDefault="00AD3332" w:rsidP="009C15CF">
            <w:pPr>
              <w:jc w:val="both"/>
              <w:rPr>
                <w:rFonts w:ascii="Arial" w:hAnsi="Arial" w:cs="Arial"/>
                <w:lang w:val="fr-FR"/>
              </w:rPr>
            </w:pPr>
            <w:r w:rsidRPr="0069784D">
              <w:rPr>
                <w:rFonts w:ascii="Arial" w:hAnsi="Arial" w:cs="Arial"/>
                <w:b/>
                <w:lang w:val="fr-FR"/>
              </w:rPr>
              <w:t>Bruxelles,</w:t>
            </w:r>
            <w:r w:rsidR="00416908">
              <w:rPr>
                <w:rFonts w:ascii="Arial" w:hAnsi="Arial" w:cs="Arial"/>
                <w:b/>
                <w:lang w:val="fr-FR"/>
              </w:rPr>
              <w:t>09</w:t>
            </w:r>
            <w:r w:rsidRPr="0069784D">
              <w:rPr>
                <w:rFonts w:ascii="Arial" w:hAnsi="Arial" w:cs="Arial"/>
                <w:b/>
                <w:lang w:val="fr-FR"/>
              </w:rPr>
              <w:t xml:space="preserve"> juin 2022</w:t>
            </w:r>
          </w:p>
          <w:p w14:paraId="6CBCFCFC" w14:textId="77777777" w:rsidR="00AD3332" w:rsidRPr="0069784D" w:rsidRDefault="00AD3332" w:rsidP="009C15CF">
            <w:pPr>
              <w:pStyle w:val="Heading6"/>
              <w:ind w:right="0"/>
              <w:jc w:val="both"/>
              <w:rPr>
                <w:b w:val="0"/>
                <w:bCs/>
                <w:i/>
                <w:iCs/>
                <w:sz w:val="24"/>
                <w:u w:val="single"/>
              </w:rPr>
            </w:pPr>
          </w:p>
        </w:tc>
        <w:tc>
          <w:tcPr>
            <w:tcW w:w="4680" w:type="dxa"/>
            <w:tcMar>
              <w:top w:w="57" w:type="dxa"/>
              <w:left w:w="0" w:type="dxa"/>
            </w:tcMar>
          </w:tcPr>
          <w:p w14:paraId="29423EE5" w14:textId="63C8A39E" w:rsidR="00AD3332" w:rsidRPr="0069784D" w:rsidRDefault="00AD3332" w:rsidP="009C15CF">
            <w:pPr>
              <w:ind w:left="113"/>
              <w:jc w:val="both"/>
              <w:rPr>
                <w:rFonts w:ascii="Arial" w:hAnsi="Arial" w:cs="Arial"/>
                <w:b/>
                <w:lang w:val="fr-FR"/>
              </w:rPr>
            </w:pPr>
            <w:r w:rsidRPr="0069784D">
              <w:rPr>
                <w:rFonts w:ascii="Arial" w:hAnsi="Arial" w:cs="Arial"/>
                <w:b/>
                <w:lang w:val="fr-FR"/>
              </w:rPr>
              <w:t xml:space="preserve">Brussel, </w:t>
            </w:r>
            <w:r w:rsidR="00416908">
              <w:rPr>
                <w:rFonts w:ascii="Arial" w:hAnsi="Arial" w:cs="Arial"/>
                <w:b/>
                <w:lang w:val="fr-FR"/>
              </w:rPr>
              <w:t>09</w:t>
            </w:r>
            <w:r w:rsidRPr="0069784D">
              <w:rPr>
                <w:rFonts w:ascii="Arial" w:hAnsi="Arial" w:cs="Arial"/>
                <w:b/>
                <w:lang w:val="fr-FR"/>
              </w:rPr>
              <w:t xml:space="preserve"> jun</w:t>
            </w:r>
            <w:r w:rsidR="004B61EC" w:rsidRPr="0069784D">
              <w:rPr>
                <w:rFonts w:ascii="Arial" w:hAnsi="Arial" w:cs="Arial"/>
                <w:b/>
                <w:lang w:val="fr-FR"/>
              </w:rPr>
              <w:t>i</w:t>
            </w:r>
            <w:r w:rsidRPr="0069784D">
              <w:rPr>
                <w:rFonts w:ascii="Arial" w:hAnsi="Arial" w:cs="Arial"/>
                <w:b/>
                <w:lang w:val="fr-FR"/>
              </w:rPr>
              <w:t xml:space="preserve"> 2022</w:t>
            </w:r>
          </w:p>
          <w:p w14:paraId="6D739E98" w14:textId="77777777" w:rsidR="00AD3332" w:rsidRPr="0069784D" w:rsidRDefault="00AD3332" w:rsidP="009C15CF">
            <w:pPr>
              <w:ind w:left="113"/>
              <w:jc w:val="both"/>
              <w:rPr>
                <w:rFonts w:ascii="Arial" w:hAnsi="Arial" w:cs="Arial"/>
                <w:b/>
                <w:bCs/>
                <w:u w:val="single"/>
                <w:lang w:val="fr-FR"/>
              </w:rPr>
            </w:pPr>
          </w:p>
          <w:p w14:paraId="07983165" w14:textId="77777777" w:rsidR="00AD3332" w:rsidRPr="0069784D" w:rsidRDefault="00AD3332" w:rsidP="009C15CF">
            <w:pPr>
              <w:ind w:left="113"/>
              <w:jc w:val="both"/>
              <w:rPr>
                <w:rFonts w:ascii="Arial" w:hAnsi="Arial" w:cs="Arial"/>
                <w:b/>
                <w:bCs/>
                <w:lang w:val="fr-FR"/>
              </w:rPr>
            </w:pPr>
          </w:p>
        </w:tc>
      </w:tr>
      <w:tr w:rsidR="00AD3332" w:rsidRPr="001C6BF9" w14:paraId="4BBCDFAF" w14:textId="77777777" w:rsidTr="00AD3332">
        <w:tc>
          <w:tcPr>
            <w:tcW w:w="4680" w:type="dxa"/>
            <w:tcMar>
              <w:top w:w="57" w:type="dxa"/>
              <w:left w:w="0" w:type="dxa"/>
            </w:tcMar>
          </w:tcPr>
          <w:p w14:paraId="7A00DEDF" w14:textId="74B98DFD" w:rsidR="00AD3332" w:rsidRPr="0069784D" w:rsidRDefault="00AD3332" w:rsidP="009C15CF">
            <w:pPr>
              <w:jc w:val="both"/>
              <w:rPr>
                <w:rFonts w:ascii="Arial" w:hAnsi="Arial" w:cs="Arial"/>
                <w:b/>
                <w:bCs/>
                <w:caps/>
                <w:sz w:val="26"/>
                <w:szCs w:val="26"/>
                <w:lang w:val="fr-FR"/>
              </w:rPr>
            </w:pPr>
            <w:r w:rsidRPr="0069784D">
              <w:rPr>
                <w:rFonts w:ascii="Arial" w:hAnsi="Arial" w:cs="Arial"/>
                <w:b/>
                <w:bCs/>
                <w:caps/>
                <w:sz w:val="26"/>
                <w:szCs w:val="26"/>
                <w:lang w:val="fr-FR"/>
              </w:rPr>
              <w:t xml:space="preserve">circulaire n° </w:t>
            </w:r>
            <w:r w:rsidR="00296486">
              <w:rPr>
                <w:rFonts w:ascii="Arial" w:hAnsi="Arial" w:cs="Arial"/>
                <w:b/>
                <w:bCs/>
                <w:caps/>
                <w:sz w:val="26"/>
                <w:szCs w:val="26"/>
                <w:lang w:val="fr-FR"/>
              </w:rPr>
              <w:t>05</w:t>
            </w:r>
            <w:r w:rsidRPr="0069784D">
              <w:rPr>
                <w:rFonts w:ascii="Arial" w:hAnsi="Arial" w:cs="Arial"/>
                <w:b/>
                <w:bCs/>
                <w:caps/>
                <w:sz w:val="26"/>
                <w:szCs w:val="26"/>
                <w:lang w:val="fr-FR"/>
              </w:rPr>
              <w:t>/2022 du collÈge des procureurs gÉnÉraux prÈs les cours d’appel</w:t>
            </w:r>
          </w:p>
        </w:tc>
        <w:tc>
          <w:tcPr>
            <w:tcW w:w="4680" w:type="dxa"/>
            <w:tcBorders>
              <w:bottom w:val="single" w:sz="4" w:space="0" w:color="auto"/>
            </w:tcBorders>
            <w:tcMar>
              <w:top w:w="57" w:type="dxa"/>
              <w:left w:w="0" w:type="dxa"/>
            </w:tcMar>
          </w:tcPr>
          <w:p w14:paraId="0E73199C" w14:textId="1A9FAFAC" w:rsidR="00AD3332" w:rsidRPr="0069784D" w:rsidRDefault="00AD3332" w:rsidP="009C15CF">
            <w:pPr>
              <w:ind w:left="113"/>
              <w:jc w:val="both"/>
              <w:rPr>
                <w:rFonts w:ascii="Arial" w:hAnsi="Arial" w:cs="Arial"/>
                <w:b/>
                <w:bCs/>
                <w:caps/>
                <w:sz w:val="26"/>
                <w:szCs w:val="26"/>
                <w:lang w:val="nl-BE"/>
              </w:rPr>
            </w:pPr>
            <w:r w:rsidRPr="0069784D">
              <w:rPr>
                <w:rFonts w:ascii="Arial" w:hAnsi="Arial" w:cs="Arial"/>
                <w:b/>
                <w:bCs/>
                <w:caps/>
                <w:sz w:val="26"/>
                <w:szCs w:val="26"/>
                <w:lang w:val="nl-BE"/>
              </w:rPr>
              <w:t xml:space="preserve">omzendbrief nr. </w:t>
            </w:r>
            <w:r w:rsidR="00296486">
              <w:rPr>
                <w:rFonts w:ascii="Arial" w:hAnsi="Arial" w:cs="Arial"/>
                <w:b/>
                <w:bCs/>
                <w:caps/>
                <w:sz w:val="26"/>
                <w:szCs w:val="26"/>
                <w:lang w:val="nl-BE"/>
              </w:rPr>
              <w:t>05</w:t>
            </w:r>
            <w:r w:rsidRPr="0069784D">
              <w:rPr>
                <w:rFonts w:ascii="Arial" w:hAnsi="Arial" w:cs="Arial"/>
                <w:b/>
                <w:bCs/>
                <w:caps/>
                <w:sz w:val="26"/>
                <w:szCs w:val="26"/>
                <w:lang w:val="nl-BE"/>
              </w:rPr>
              <w:t>/2022 van het college van procureurs-generaal bij de hoven van beroep</w:t>
            </w:r>
          </w:p>
          <w:p w14:paraId="70AA2E3D" w14:textId="77777777" w:rsidR="00AD3332" w:rsidRPr="0069784D" w:rsidRDefault="00AD3332" w:rsidP="009C15CF">
            <w:pPr>
              <w:ind w:left="113"/>
              <w:jc w:val="both"/>
              <w:rPr>
                <w:rFonts w:ascii="Arial" w:hAnsi="Arial" w:cs="Arial"/>
                <w:b/>
                <w:bCs/>
                <w:lang w:val="nl-BE"/>
              </w:rPr>
            </w:pPr>
          </w:p>
        </w:tc>
      </w:tr>
      <w:tr w:rsidR="00AD3332" w:rsidRPr="0069784D" w14:paraId="6BC03371" w14:textId="77777777" w:rsidTr="00AD3332">
        <w:trPr>
          <w:trHeight w:val="1784"/>
        </w:trPr>
        <w:tc>
          <w:tcPr>
            <w:tcW w:w="4680" w:type="dxa"/>
            <w:tcBorders>
              <w:top w:val="single" w:sz="4" w:space="0" w:color="auto"/>
              <w:right w:val="single" w:sz="4" w:space="0" w:color="auto"/>
            </w:tcBorders>
            <w:tcMar>
              <w:top w:w="57" w:type="dxa"/>
              <w:left w:w="0" w:type="dxa"/>
            </w:tcMar>
          </w:tcPr>
          <w:p w14:paraId="27DE0A6D" w14:textId="77777777" w:rsidR="00AD3332" w:rsidRPr="0069784D" w:rsidRDefault="00AD3332" w:rsidP="009C15CF">
            <w:pPr>
              <w:jc w:val="both"/>
              <w:rPr>
                <w:rFonts w:ascii="Arial" w:hAnsi="Arial" w:cs="Arial"/>
                <w:lang w:val="nl-BE"/>
              </w:rPr>
            </w:pPr>
          </w:p>
          <w:p w14:paraId="0C42C6E0" w14:textId="77777777" w:rsidR="00AD3332" w:rsidRPr="0069784D" w:rsidRDefault="00AD3332" w:rsidP="009C15CF">
            <w:pPr>
              <w:jc w:val="both"/>
              <w:rPr>
                <w:rFonts w:ascii="Arial" w:hAnsi="Arial" w:cs="Arial"/>
                <w:lang w:val="fr-BE"/>
              </w:rPr>
            </w:pPr>
            <w:r w:rsidRPr="0069784D">
              <w:rPr>
                <w:rFonts w:ascii="Arial" w:hAnsi="Arial" w:cs="Arial"/>
                <w:lang w:val="fr-BE"/>
              </w:rPr>
              <w:t>Monsieur le Procureur général,</w:t>
            </w:r>
          </w:p>
          <w:p w14:paraId="78D43997" w14:textId="77777777" w:rsidR="00AD3332" w:rsidRPr="0069784D" w:rsidRDefault="00AD3332" w:rsidP="009C15CF">
            <w:pPr>
              <w:jc w:val="both"/>
              <w:rPr>
                <w:rFonts w:ascii="Arial" w:hAnsi="Arial" w:cs="Arial"/>
                <w:lang w:val="fr-BE"/>
              </w:rPr>
            </w:pPr>
            <w:r w:rsidRPr="0069784D">
              <w:rPr>
                <w:rFonts w:ascii="Arial" w:hAnsi="Arial" w:cs="Arial"/>
                <w:lang w:val="fr-BE"/>
              </w:rPr>
              <w:t>Monsieur le Procureur fédéral,</w:t>
            </w:r>
          </w:p>
          <w:p w14:paraId="00B25B3B" w14:textId="77777777" w:rsidR="00AD3332" w:rsidRPr="0069784D" w:rsidRDefault="00AD3332" w:rsidP="009C15CF">
            <w:pPr>
              <w:jc w:val="both"/>
              <w:rPr>
                <w:rFonts w:ascii="Arial" w:hAnsi="Arial" w:cs="Arial"/>
                <w:lang w:val="fr-BE"/>
              </w:rPr>
            </w:pPr>
            <w:r w:rsidRPr="0069784D">
              <w:rPr>
                <w:rFonts w:ascii="Arial" w:hAnsi="Arial" w:cs="Arial"/>
                <w:lang w:val="fr-BE"/>
              </w:rPr>
              <w:t>Madame/Monsieur le Procureur du Roi,</w:t>
            </w:r>
          </w:p>
          <w:p w14:paraId="5562A632" w14:textId="77777777" w:rsidR="00AD3332" w:rsidRPr="0069784D" w:rsidRDefault="00AD3332" w:rsidP="009C15CF">
            <w:pPr>
              <w:pStyle w:val="BodyTextIndent"/>
              <w:ind w:left="0"/>
              <w:rPr>
                <w:lang w:val="fr-BE"/>
              </w:rPr>
            </w:pPr>
            <w:r w:rsidRPr="0069784D">
              <w:rPr>
                <w:lang w:val="fr-BE"/>
              </w:rPr>
              <w:t>Madame/Monsieur l’Auditeur du travail,</w:t>
            </w:r>
          </w:p>
          <w:p w14:paraId="448EBC1C" w14:textId="77777777" w:rsidR="00AD3332" w:rsidRPr="0069784D" w:rsidRDefault="00AD3332" w:rsidP="009C15CF">
            <w:pPr>
              <w:jc w:val="both"/>
              <w:rPr>
                <w:rFonts w:ascii="Arial" w:hAnsi="Arial" w:cs="Arial"/>
                <w:lang w:val="fr-BE"/>
              </w:rPr>
            </w:pPr>
          </w:p>
          <w:p w14:paraId="32D34B59" w14:textId="77777777" w:rsidR="00AD3332" w:rsidRPr="0069784D" w:rsidRDefault="00AD3332" w:rsidP="009C15CF">
            <w:pPr>
              <w:jc w:val="both"/>
              <w:rPr>
                <w:rFonts w:ascii="Arial" w:hAnsi="Arial" w:cs="Arial"/>
                <w:lang w:val="fr-BE"/>
              </w:rPr>
            </w:pPr>
          </w:p>
          <w:p w14:paraId="0922FE6F" w14:textId="77777777" w:rsidR="00AD3332" w:rsidRPr="0069784D" w:rsidRDefault="00AD3332" w:rsidP="009C15CF">
            <w:pPr>
              <w:jc w:val="both"/>
              <w:rPr>
                <w:rFonts w:ascii="Arial" w:hAnsi="Arial" w:cs="Arial"/>
                <w:lang w:val="fr-BE"/>
              </w:rPr>
            </w:pPr>
          </w:p>
          <w:p w14:paraId="1E8792E3" w14:textId="77777777" w:rsidR="00AD3332" w:rsidRPr="0069784D" w:rsidRDefault="00AD3332" w:rsidP="009C15CF">
            <w:pPr>
              <w:jc w:val="both"/>
              <w:rPr>
                <w:rFonts w:ascii="Arial" w:hAnsi="Arial" w:cs="Arial"/>
                <w:lang w:val="fr-BE"/>
              </w:rPr>
            </w:pPr>
          </w:p>
          <w:p w14:paraId="521AC889" w14:textId="77777777" w:rsidR="00AD3332" w:rsidRPr="0069784D" w:rsidRDefault="00AD3332" w:rsidP="009C15CF">
            <w:pPr>
              <w:jc w:val="both"/>
              <w:rPr>
                <w:rFonts w:ascii="Arial" w:hAnsi="Arial" w:cs="Arial"/>
                <w:lang w:val="fr-BE"/>
              </w:rPr>
            </w:pPr>
          </w:p>
          <w:p w14:paraId="688C00D7" w14:textId="77777777" w:rsidR="00AD3332" w:rsidRPr="0069784D" w:rsidRDefault="00AD3332" w:rsidP="009C15CF">
            <w:pPr>
              <w:jc w:val="both"/>
              <w:rPr>
                <w:rFonts w:ascii="Arial" w:hAnsi="Arial" w:cs="Arial"/>
                <w:lang w:val="fr-BE"/>
              </w:rPr>
            </w:pPr>
          </w:p>
          <w:p w14:paraId="2015DF27" w14:textId="77777777" w:rsidR="00AD3332" w:rsidRPr="0069784D" w:rsidRDefault="00AD3332" w:rsidP="009C15CF">
            <w:pPr>
              <w:jc w:val="both"/>
              <w:rPr>
                <w:rFonts w:ascii="Arial" w:hAnsi="Arial" w:cs="Arial"/>
                <w:lang w:val="fr-BE"/>
              </w:rPr>
            </w:pPr>
          </w:p>
          <w:p w14:paraId="021EA3ED" w14:textId="77777777" w:rsidR="00AD3332" w:rsidRPr="0069784D" w:rsidRDefault="00AD3332" w:rsidP="009C15CF">
            <w:pPr>
              <w:jc w:val="both"/>
              <w:rPr>
                <w:rFonts w:ascii="Arial" w:hAnsi="Arial" w:cs="Arial"/>
                <w:lang w:val="fr-BE"/>
              </w:rPr>
            </w:pPr>
          </w:p>
          <w:p w14:paraId="6C837CE2" w14:textId="77777777" w:rsidR="00AD3332" w:rsidRPr="0069784D" w:rsidRDefault="00AD3332" w:rsidP="009C15CF">
            <w:pPr>
              <w:jc w:val="both"/>
              <w:rPr>
                <w:rFonts w:ascii="Arial" w:hAnsi="Arial" w:cs="Arial"/>
                <w:lang w:val="fr-BE"/>
              </w:rPr>
            </w:pPr>
          </w:p>
        </w:tc>
        <w:tc>
          <w:tcPr>
            <w:tcW w:w="4680" w:type="dxa"/>
            <w:tcBorders>
              <w:top w:val="single" w:sz="4" w:space="0" w:color="auto"/>
              <w:left w:val="single" w:sz="4" w:space="0" w:color="auto"/>
            </w:tcBorders>
            <w:tcMar>
              <w:top w:w="57" w:type="dxa"/>
              <w:left w:w="0" w:type="dxa"/>
            </w:tcMar>
          </w:tcPr>
          <w:p w14:paraId="0B5AD661" w14:textId="77777777" w:rsidR="00AD3332" w:rsidRPr="0069784D" w:rsidRDefault="00AD3332" w:rsidP="009C15CF">
            <w:pPr>
              <w:ind w:left="113"/>
              <w:jc w:val="both"/>
              <w:rPr>
                <w:rFonts w:ascii="Arial" w:hAnsi="Arial" w:cs="Arial"/>
                <w:lang w:val="fr-BE"/>
              </w:rPr>
            </w:pPr>
          </w:p>
          <w:p w14:paraId="36DEFD6A" w14:textId="77777777" w:rsidR="00AD3332" w:rsidRPr="0069784D" w:rsidRDefault="00AD3332" w:rsidP="009C15CF">
            <w:pPr>
              <w:ind w:left="113"/>
              <w:jc w:val="both"/>
              <w:rPr>
                <w:rFonts w:ascii="Arial" w:hAnsi="Arial" w:cs="Arial"/>
                <w:lang w:val="nl-BE"/>
              </w:rPr>
            </w:pPr>
            <w:r w:rsidRPr="0069784D">
              <w:rPr>
                <w:rFonts w:ascii="Arial" w:hAnsi="Arial" w:cs="Arial"/>
                <w:lang w:val="nl-BE"/>
              </w:rPr>
              <w:t>Mijnheer de Procureur-generaal,</w:t>
            </w:r>
          </w:p>
          <w:p w14:paraId="23AC8B80" w14:textId="77777777" w:rsidR="00AD3332" w:rsidRPr="0069784D" w:rsidRDefault="00AD3332" w:rsidP="009C15CF">
            <w:pPr>
              <w:ind w:left="113"/>
              <w:jc w:val="both"/>
              <w:rPr>
                <w:rFonts w:ascii="Arial" w:hAnsi="Arial" w:cs="Arial"/>
                <w:lang w:val="nl-BE"/>
              </w:rPr>
            </w:pPr>
            <w:r w:rsidRPr="0069784D">
              <w:rPr>
                <w:rFonts w:ascii="Arial" w:hAnsi="Arial" w:cs="Arial"/>
                <w:lang w:val="nl-BE"/>
              </w:rPr>
              <w:t>Mijnheer de Federale Procureur,</w:t>
            </w:r>
          </w:p>
          <w:p w14:paraId="2D70659F" w14:textId="77777777" w:rsidR="00AD3332" w:rsidRPr="0069784D" w:rsidRDefault="00AD3332" w:rsidP="009C15CF">
            <w:pPr>
              <w:ind w:left="113"/>
              <w:jc w:val="both"/>
              <w:rPr>
                <w:rFonts w:ascii="Arial" w:hAnsi="Arial" w:cs="Arial"/>
                <w:lang w:val="nl-BE"/>
              </w:rPr>
            </w:pPr>
            <w:r w:rsidRPr="0069784D">
              <w:rPr>
                <w:rFonts w:ascii="Arial" w:hAnsi="Arial" w:cs="Arial"/>
                <w:lang w:val="nl-BE"/>
              </w:rPr>
              <w:t>Mevrouw/Mijnheer de Procureur des Konings,</w:t>
            </w:r>
          </w:p>
          <w:p w14:paraId="4BF76079" w14:textId="77777777" w:rsidR="00AD3332" w:rsidRPr="0069784D" w:rsidRDefault="00AD3332" w:rsidP="009C15CF">
            <w:pPr>
              <w:ind w:left="113"/>
              <w:jc w:val="both"/>
              <w:rPr>
                <w:rFonts w:ascii="Arial" w:hAnsi="Arial" w:cs="Arial"/>
                <w:lang w:val="nl-BE"/>
              </w:rPr>
            </w:pPr>
            <w:r w:rsidRPr="0069784D">
              <w:rPr>
                <w:rFonts w:ascii="Arial" w:hAnsi="Arial" w:cs="Arial"/>
                <w:lang w:val="nl-BE"/>
              </w:rPr>
              <w:t>Mevrouw/Mijnheer de Arbeidsauditeur,</w:t>
            </w:r>
          </w:p>
          <w:p w14:paraId="6C3CE862" w14:textId="77777777" w:rsidR="00AD3332" w:rsidRPr="0069784D" w:rsidRDefault="00AD3332" w:rsidP="009C15CF">
            <w:pPr>
              <w:ind w:left="113"/>
              <w:jc w:val="both"/>
              <w:rPr>
                <w:rFonts w:ascii="Arial" w:hAnsi="Arial" w:cs="Arial"/>
                <w:lang w:val="nl-BE"/>
              </w:rPr>
            </w:pPr>
          </w:p>
          <w:p w14:paraId="77ABDD0D" w14:textId="77777777" w:rsidR="00AD3332" w:rsidRPr="0069784D" w:rsidRDefault="00AD3332" w:rsidP="009C15CF">
            <w:pPr>
              <w:ind w:left="113"/>
              <w:jc w:val="both"/>
              <w:rPr>
                <w:rFonts w:ascii="Arial" w:hAnsi="Arial" w:cs="Arial"/>
                <w:lang w:val="nl-BE"/>
              </w:rPr>
            </w:pPr>
          </w:p>
          <w:p w14:paraId="174C39D4" w14:textId="77777777" w:rsidR="00AD3332" w:rsidRPr="0069784D" w:rsidRDefault="00AD3332" w:rsidP="009C15CF">
            <w:pPr>
              <w:ind w:left="113"/>
              <w:jc w:val="both"/>
              <w:rPr>
                <w:rFonts w:ascii="Arial" w:hAnsi="Arial" w:cs="Arial"/>
                <w:lang w:val="nl-BE"/>
              </w:rPr>
            </w:pPr>
          </w:p>
          <w:p w14:paraId="62534877" w14:textId="77777777" w:rsidR="00AD3332" w:rsidRPr="0069784D" w:rsidRDefault="00AD3332" w:rsidP="009C15CF">
            <w:pPr>
              <w:keepNext/>
              <w:ind w:left="113"/>
              <w:jc w:val="both"/>
              <w:outlineLvl w:val="6"/>
              <w:rPr>
                <w:rFonts w:ascii="Arial" w:hAnsi="Arial" w:cs="Arial"/>
                <w:b/>
                <w:bCs/>
                <w:szCs w:val="20"/>
                <w:lang w:val="nl-BE"/>
              </w:rPr>
            </w:pPr>
          </w:p>
          <w:p w14:paraId="300FDDE4" w14:textId="77777777" w:rsidR="00AD3332" w:rsidRPr="0069784D" w:rsidRDefault="00AD3332" w:rsidP="009C15CF">
            <w:pPr>
              <w:tabs>
                <w:tab w:val="left" w:pos="1185"/>
              </w:tabs>
              <w:ind w:left="113"/>
              <w:jc w:val="both"/>
              <w:rPr>
                <w:rFonts w:ascii="Arial" w:hAnsi="Arial" w:cs="Arial"/>
                <w:u w:val="single"/>
                <w:lang w:val="nl-BE"/>
              </w:rPr>
            </w:pPr>
          </w:p>
        </w:tc>
      </w:tr>
      <w:tr w:rsidR="00AD3332" w:rsidRPr="001C6BF9" w14:paraId="7A8D114D" w14:textId="77777777" w:rsidTr="00AD3332">
        <w:tc>
          <w:tcPr>
            <w:tcW w:w="4680" w:type="dxa"/>
            <w:tcBorders>
              <w:right w:val="single" w:sz="4" w:space="0" w:color="auto"/>
            </w:tcBorders>
            <w:tcMar>
              <w:top w:w="57" w:type="dxa"/>
              <w:left w:w="0" w:type="dxa"/>
            </w:tcMar>
          </w:tcPr>
          <w:p w14:paraId="4782580F" w14:textId="6C10884F" w:rsidR="00AD3332" w:rsidRPr="0069784D" w:rsidRDefault="00AD3332" w:rsidP="009C15CF">
            <w:pPr>
              <w:pStyle w:val="BodyTextIndent3"/>
              <w:ind w:left="0"/>
              <w:rPr>
                <w:caps/>
              </w:rPr>
            </w:pPr>
            <w:r w:rsidRPr="0069784D">
              <w:rPr>
                <w:bCs w:val="0"/>
                <w:u w:val="single"/>
                <w:lang w:val="fr-FR"/>
              </w:rPr>
              <w:t>OBJET</w:t>
            </w:r>
            <w:r w:rsidRPr="0069784D">
              <w:rPr>
                <w:bCs w:val="0"/>
                <w:lang w:val="fr-FR"/>
              </w:rPr>
              <w:t> :</w:t>
            </w:r>
            <w:r w:rsidRPr="0069784D">
              <w:rPr>
                <w:b w:val="0"/>
                <w:bCs w:val="0"/>
                <w:lang w:val="fr-FR"/>
              </w:rPr>
              <w:t xml:space="preserve"> </w:t>
            </w:r>
            <w:r w:rsidRPr="0069784D">
              <w:rPr>
                <w:bCs w:val="0"/>
                <w:lang w:val="fr-FR"/>
              </w:rPr>
              <w:t>loi du 21 mars 2022 modifiant le Code pénal en ce qui concerne le droit pénal sexuel publiée au moniteur belge le 30 mars 2022 et entrant en application le 1er juin 2022.</w:t>
            </w:r>
          </w:p>
          <w:p w14:paraId="6E790167" w14:textId="77777777" w:rsidR="00AD3332" w:rsidRPr="0069784D" w:rsidRDefault="00AD3332" w:rsidP="009C15CF">
            <w:pPr>
              <w:pStyle w:val="BodyTextIndent3"/>
              <w:ind w:left="0"/>
              <w:rPr>
                <w:bCs w:val="0"/>
                <w:u w:val="single"/>
                <w:lang w:val="fr-FR"/>
              </w:rPr>
            </w:pPr>
          </w:p>
        </w:tc>
        <w:tc>
          <w:tcPr>
            <w:tcW w:w="4680" w:type="dxa"/>
            <w:tcBorders>
              <w:left w:val="single" w:sz="4" w:space="0" w:color="auto"/>
            </w:tcBorders>
            <w:tcMar>
              <w:top w:w="57" w:type="dxa"/>
              <w:left w:w="0" w:type="dxa"/>
            </w:tcMar>
          </w:tcPr>
          <w:p w14:paraId="3337B0F9" w14:textId="0F2A1C4B" w:rsidR="00AD3332" w:rsidRPr="0069784D" w:rsidRDefault="00AD3332" w:rsidP="009C15CF">
            <w:pPr>
              <w:ind w:left="113"/>
              <w:jc w:val="both"/>
              <w:rPr>
                <w:rFonts w:ascii="Arial" w:hAnsi="Arial" w:cs="Arial"/>
                <w:b/>
                <w:bCs/>
                <w:u w:val="single"/>
                <w:lang w:val="nl-BE"/>
              </w:rPr>
            </w:pPr>
            <w:r w:rsidRPr="0069784D">
              <w:rPr>
                <w:rFonts w:ascii="Arial" w:hAnsi="Arial" w:cs="Arial"/>
                <w:b/>
                <w:bCs/>
                <w:u w:val="single"/>
                <w:lang w:val="nl-BE"/>
              </w:rPr>
              <w:t>BETREFT</w:t>
            </w:r>
            <w:r w:rsidRPr="0069784D">
              <w:rPr>
                <w:rFonts w:ascii="Arial" w:hAnsi="Arial" w:cs="Arial"/>
                <w:b/>
                <w:bCs/>
                <w:lang w:val="nl-BE"/>
              </w:rPr>
              <w:t xml:space="preserve">: </w:t>
            </w:r>
            <w:r w:rsidR="009B112A" w:rsidRPr="0069784D">
              <w:rPr>
                <w:rFonts w:ascii="Arial" w:hAnsi="Arial" w:cs="Arial"/>
                <w:b/>
                <w:bCs/>
                <w:lang w:val="nl-BE"/>
              </w:rPr>
              <w:t xml:space="preserve">Wet van 21 maart 2022 </w:t>
            </w:r>
            <w:r w:rsidR="009B112A" w:rsidRPr="0069784D">
              <w:rPr>
                <w:rFonts w:ascii="Arial" w:hAnsi="Arial" w:cs="Arial"/>
                <w:b/>
                <w:lang w:val="nl-BE"/>
              </w:rPr>
              <w:t>houdende wijzigingen aan het Strafwetboek met betrekking tot het seksueel strafrecht, gepubliceerd in het Belgisch Staatsblad van 30 maart 2022, met inwerkingtreding op 1 juni 2022</w:t>
            </w:r>
          </w:p>
        </w:tc>
      </w:tr>
    </w:tbl>
    <w:p w14:paraId="7B2CB910" w14:textId="285E467F" w:rsidR="00127C37" w:rsidRPr="0069784D" w:rsidRDefault="00127C37" w:rsidP="009C15CF">
      <w:pPr>
        <w:jc w:val="both"/>
        <w:rPr>
          <w:lang w:val="nl-BE"/>
        </w:rPr>
      </w:pPr>
    </w:p>
    <w:p w14:paraId="5FF8F5BB" w14:textId="77777777" w:rsidR="00617918" w:rsidRPr="00627ECA" w:rsidRDefault="00617918" w:rsidP="008D72C3">
      <w:pPr>
        <w:spacing w:line="240" w:lineRule="auto"/>
        <w:jc w:val="both"/>
        <w:rPr>
          <w:b/>
          <w:bCs/>
          <w:lang w:val="nl-NL"/>
        </w:rPr>
      </w:pPr>
    </w:p>
    <w:p w14:paraId="643FBBEF" w14:textId="06D9D27C" w:rsidR="00627ECA" w:rsidRPr="00627ECA" w:rsidRDefault="00627ECA" w:rsidP="008D72C3">
      <w:pPr>
        <w:tabs>
          <w:tab w:val="right" w:pos="9026"/>
        </w:tabs>
        <w:spacing w:line="240" w:lineRule="auto"/>
        <w:jc w:val="both"/>
        <w:rPr>
          <w:b/>
          <w:bCs/>
          <w:lang w:val="nl-NL"/>
        </w:rPr>
      </w:pPr>
      <w:r w:rsidRPr="00627ECA">
        <w:rPr>
          <w:b/>
          <w:bCs/>
          <w:lang w:val="nl-NL"/>
        </w:rPr>
        <w:t>I.</w:t>
      </w:r>
      <w:r w:rsidRPr="00627ECA">
        <w:rPr>
          <w:b/>
          <w:bCs/>
          <w:lang w:val="nl-NL"/>
        </w:rPr>
        <w:tab/>
        <w:t>Wetgevend kader</w:t>
      </w:r>
      <w:r w:rsidRPr="00627ECA">
        <w:rPr>
          <w:b/>
          <w:bCs/>
          <w:lang w:val="nl-NL"/>
        </w:rPr>
        <w:t>………………………………………………………………………………………………………</w:t>
      </w:r>
      <w:r w:rsidR="00E62EA4">
        <w:rPr>
          <w:b/>
          <w:bCs/>
          <w:lang w:val="nl-NL"/>
        </w:rPr>
        <w:t>………</w:t>
      </w:r>
      <w:r w:rsidRPr="00627ECA">
        <w:rPr>
          <w:b/>
          <w:bCs/>
          <w:lang w:val="nl-NL"/>
        </w:rPr>
        <w:t>6</w:t>
      </w:r>
    </w:p>
    <w:p w14:paraId="7C19A952" w14:textId="38945968" w:rsidR="00627ECA" w:rsidRPr="00627ECA" w:rsidRDefault="00627ECA" w:rsidP="008D72C3">
      <w:pPr>
        <w:tabs>
          <w:tab w:val="right" w:pos="9026"/>
        </w:tabs>
        <w:spacing w:line="240" w:lineRule="auto"/>
        <w:jc w:val="both"/>
        <w:rPr>
          <w:b/>
          <w:bCs/>
          <w:lang w:val="nl-NL"/>
        </w:rPr>
      </w:pPr>
      <w:r w:rsidRPr="00627ECA">
        <w:rPr>
          <w:b/>
          <w:bCs/>
          <w:lang w:val="nl-NL"/>
        </w:rPr>
        <w:t>II.</w:t>
      </w:r>
      <w:r w:rsidRPr="00627ECA">
        <w:rPr>
          <w:b/>
          <w:bCs/>
          <w:lang w:val="nl-NL"/>
        </w:rPr>
        <w:tab/>
        <w:t>Bestemmelingen van de omzendbrief</w:t>
      </w:r>
      <w:r w:rsidRPr="00627ECA">
        <w:rPr>
          <w:b/>
          <w:bCs/>
          <w:lang w:val="nl-NL"/>
        </w:rPr>
        <w:t>…………………………………………………………………………</w:t>
      </w:r>
      <w:r w:rsidR="00E62EA4">
        <w:rPr>
          <w:b/>
          <w:bCs/>
          <w:lang w:val="nl-NL"/>
        </w:rPr>
        <w:t>……..</w:t>
      </w:r>
      <w:r w:rsidRPr="00627ECA">
        <w:rPr>
          <w:b/>
          <w:bCs/>
          <w:lang w:val="nl-NL"/>
        </w:rPr>
        <w:t>6</w:t>
      </w:r>
    </w:p>
    <w:p w14:paraId="7F81A566" w14:textId="6F0F69EE" w:rsidR="00627ECA" w:rsidRPr="00627ECA" w:rsidRDefault="00627ECA" w:rsidP="008D72C3">
      <w:pPr>
        <w:tabs>
          <w:tab w:val="right" w:pos="9026"/>
        </w:tabs>
        <w:spacing w:line="240" w:lineRule="auto"/>
        <w:jc w:val="both"/>
        <w:rPr>
          <w:b/>
          <w:bCs/>
          <w:lang w:val="nl-NL"/>
        </w:rPr>
      </w:pPr>
      <w:r w:rsidRPr="00627ECA">
        <w:rPr>
          <w:b/>
          <w:bCs/>
          <w:lang w:val="nl-NL"/>
        </w:rPr>
        <w:t>III.</w:t>
      </w:r>
      <w:r w:rsidRPr="00627ECA">
        <w:rPr>
          <w:b/>
          <w:bCs/>
          <w:lang w:val="nl-NL"/>
        </w:rPr>
        <w:tab/>
        <w:t>Doelstellingen van de omzendbrief</w:t>
      </w:r>
      <w:r w:rsidRPr="00627ECA">
        <w:rPr>
          <w:b/>
          <w:bCs/>
          <w:lang w:val="nl-NL"/>
        </w:rPr>
        <w:t>………………………………………………………………………………</w:t>
      </w:r>
      <w:r w:rsidR="00E62EA4">
        <w:rPr>
          <w:b/>
          <w:bCs/>
          <w:lang w:val="nl-NL"/>
        </w:rPr>
        <w:t>……</w:t>
      </w:r>
      <w:r w:rsidRPr="00627ECA">
        <w:rPr>
          <w:b/>
          <w:bCs/>
          <w:lang w:val="nl-NL"/>
        </w:rPr>
        <w:t>7</w:t>
      </w:r>
    </w:p>
    <w:p w14:paraId="2BB32893" w14:textId="0CFC6A84" w:rsidR="00627ECA" w:rsidRPr="00627ECA" w:rsidRDefault="00627ECA" w:rsidP="008D72C3">
      <w:pPr>
        <w:tabs>
          <w:tab w:val="right" w:pos="9026"/>
        </w:tabs>
        <w:spacing w:line="240" w:lineRule="auto"/>
        <w:jc w:val="both"/>
        <w:rPr>
          <w:b/>
          <w:bCs/>
          <w:lang w:val="nl-NL"/>
        </w:rPr>
      </w:pPr>
      <w:r w:rsidRPr="00627ECA">
        <w:rPr>
          <w:b/>
          <w:bCs/>
          <w:lang w:val="nl-NL"/>
        </w:rPr>
        <w:t>IV.</w:t>
      </w:r>
      <w:r w:rsidRPr="00627ECA">
        <w:rPr>
          <w:b/>
          <w:bCs/>
          <w:lang w:val="nl-NL"/>
        </w:rPr>
        <w:tab/>
        <w:t>Analyse van het wetgevend kader………………………………………………………………………………</w:t>
      </w:r>
      <w:r w:rsidR="00E62EA4">
        <w:rPr>
          <w:b/>
          <w:bCs/>
          <w:lang w:val="nl-NL"/>
        </w:rPr>
        <w:t>..</w:t>
      </w:r>
      <w:r w:rsidR="00E62EA4">
        <w:rPr>
          <w:b/>
          <w:bCs/>
          <w:lang w:val="nl-NL"/>
        </w:rPr>
        <w:t>…</w:t>
      </w:r>
      <w:r w:rsidR="00E62EA4">
        <w:rPr>
          <w:b/>
          <w:bCs/>
          <w:lang w:val="nl-NL"/>
        </w:rPr>
        <w:t>…</w:t>
      </w:r>
      <w:r w:rsidRPr="00627ECA">
        <w:rPr>
          <w:b/>
          <w:bCs/>
          <w:lang w:val="nl-NL"/>
        </w:rPr>
        <w:t>7</w:t>
      </w:r>
    </w:p>
    <w:p w14:paraId="1328663F" w14:textId="1F0AB5B0" w:rsidR="00627ECA" w:rsidRPr="00627ECA" w:rsidRDefault="00627ECA" w:rsidP="008D72C3">
      <w:pPr>
        <w:tabs>
          <w:tab w:val="left" w:pos="426"/>
          <w:tab w:val="right" w:pos="9026"/>
        </w:tabs>
        <w:spacing w:line="240" w:lineRule="auto"/>
        <w:rPr>
          <w:b/>
          <w:bCs/>
          <w:lang w:val="nl-NL"/>
        </w:rPr>
      </w:pPr>
      <w:r w:rsidRPr="00627ECA">
        <w:rPr>
          <w:b/>
          <w:bCs/>
          <w:lang w:val="nl-NL"/>
        </w:rPr>
        <w:t xml:space="preserve">Krachtlijnen van </w:t>
      </w:r>
      <w:r>
        <w:rPr>
          <w:b/>
          <w:bCs/>
          <w:lang w:val="nl-NL"/>
        </w:rPr>
        <w:t xml:space="preserve">de </w:t>
      </w:r>
      <w:r w:rsidRPr="00627ECA">
        <w:rPr>
          <w:b/>
          <w:bCs/>
          <w:lang w:val="nl-NL"/>
        </w:rPr>
        <w:t>wet……………………………………………………………</w:t>
      </w:r>
      <w:r>
        <w:rPr>
          <w:b/>
          <w:bCs/>
          <w:lang w:val="nl-NL"/>
        </w:rPr>
        <w:t>……………………………………</w:t>
      </w:r>
      <w:r w:rsidR="00E62EA4">
        <w:rPr>
          <w:b/>
          <w:bCs/>
          <w:lang w:val="nl-NL"/>
        </w:rPr>
        <w:t>………</w:t>
      </w:r>
      <w:r w:rsidR="009C15CF">
        <w:rPr>
          <w:b/>
          <w:bCs/>
          <w:lang w:val="nl-NL"/>
        </w:rPr>
        <w:t>………</w:t>
      </w:r>
      <w:r w:rsidRPr="00627ECA">
        <w:rPr>
          <w:b/>
          <w:bCs/>
          <w:lang w:val="nl-NL"/>
        </w:rPr>
        <w:t>7</w:t>
      </w:r>
    </w:p>
    <w:p w14:paraId="0FE7465F" w14:textId="2419F2BF" w:rsidR="00627ECA" w:rsidRPr="00627ECA" w:rsidRDefault="00627ECA" w:rsidP="0079012C">
      <w:pPr>
        <w:tabs>
          <w:tab w:val="right" w:pos="9026"/>
        </w:tabs>
        <w:spacing w:line="240" w:lineRule="auto"/>
        <w:ind w:left="426"/>
        <w:jc w:val="both"/>
        <w:rPr>
          <w:b/>
          <w:bCs/>
          <w:lang w:val="nl-NL"/>
        </w:rPr>
      </w:pPr>
      <w:r w:rsidRPr="00627ECA">
        <w:rPr>
          <w:b/>
          <w:bCs/>
          <w:lang w:val="nl-NL"/>
        </w:rPr>
        <w:t>1) Structuur en terminologie………………………………………………………………………………</w:t>
      </w:r>
      <w:r w:rsidRPr="00627ECA">
        <w:rPr>
          <w:b/>
          <w:bCs/>
          <w:lang w:val="nl-NL"/>
        </w:rPr>
        <w:t>……</w:t>
      </w:r>
      <w:r w:rsidR="00E62EA4">
        <w:rPr>
          <w:b/>
          <w:bCs/>
          <w:lang w:val="nl-NL"/>
        </w:rPr>
        <w:t>…………….</w:t>
      </w:r>
      <w:r w:rsidR="0079012C">
        <w:rPr>
          <w:b/>
          <w:bCs/>
          <w:lang w:val="nl-NL"/>
        </w:rPr>
        <w:t>.8</w:t>
      </w:r>
    </w:p>
    <w:p w14:paraId="5386650E" w14:textId="559568BB" w:rsidR="00627ECA" w:rsidRDefault="00627ECA" w:rsidP="008D72C3">
      <w:pPr>
        <w:tabs>
          <w:tab w:val="right" w:pos="9026"/>
        </w:tabs>
        <w:spacing w:line="240" w:lineRule="auto"/>
        <w:ind w:left="426"/>
        <w:jc w:val="both"/>
        <w:rPr>
          <w:b/>
          <w:bCs/>
          <w:lang w:val="nl-NL"/>
        </w:rPr>
      </w:pPr>
      <w:r w:rsidRPr="00627ECA">
        <w:rPr>
          <w:b/>
          <w:bCs/>
          <w:lang w:val="nl-NL"/>
        </w:rPr>
        <w:t>2) Toestemming.</w:t>
      </w:r>
      <w:r w:rsidRPr="00627ECA">
        <w:rPr>
          <w:b/>
          <w:bCs/>
          <w:lang w:val="nl-NL"/>
        </w:rPr>
        <w:t xml:space="preserve"> </w:t>
      </w:r>
      <w:r w:rsidRPr="00627ECA">
        <w:rPr>
          <w:b/>
          <w:bCs/>
          <w:lang w:val="nl-NL"/>
        </w:rPr>
        <w:t>………………………………………………………………………………</w:t>
      </w:r>
      <w:r w:rsidRPr="00627ECA">
        <w:rPr>
          <w:b/>
          <w:bCs/>
          <w:lang w:val="nl-NL"/>
        </w:rPr>
        <w:t>…………………………</w:t>
      </w:r>
      <w:r w:rsidR="00D81D80">
        <w:rPr>
          <w:b/>
          <w:bCs/>
          <w:lang w:val="nl-NL"/>
        </w:rPr>
        <w:t>………</w:t>
      </w:r>
      <w:r w:rsidR="0079012C">
        <w:rPr>
          <w:b/>
          <w:bCs/>
          <w:lang w:val="nl-NL"/>
        </w:rPr>
        <w:t>…</w:t>
      </w:r>
      <w:r w:rsidRPr="00627ECA">
        <w:rPr>
          <w:b/>
          <w:bCs/>
          <w:lang w:val="nl-NL"/>
        </w:rPr>
        <w:t>8</w:t>
      </w:r>
    </w:p>
    <w:p w14:paraId="71CF10FF" w14:textId="78B5DA7F" w:rsidR="00627ECA" w:rsidRDefault="00627ECA" w:rsidP="008D72C3">
      <w:pPr>
        <w:tabs>
          <w:tab w:val="right" w:pos="9026"/>
        </w:tabs>
        <w:spacing w:line="240" w:lineRule="auto"/>
        <w:ind w:left="426"/>
        <w:jc w:val="both"/>
        <w:rPr>
          <w:b/>
          <w:bCs/>
          <w:lang w:val="nl-NL"/>
        </w:rPr>
      </w:pPr>
      <w:r w:rsidRPr="00627ECA">
        <w:rPr>
          <w:b/>
          <w:bCs/>
          <w:lang w:val="nl-NL"/>
        </w:rPr>
        <w:t>3) Seksuele meerderjarigheid………………………………………………………………………………</w:t>
      </w:r>
      <w:r w:rsidRPr="00627ECA">
        <w:rPr>
          <w:b/>
          <w:bCs/>
          <w:lang w:val="nl-NL"/>
        </w:rPr>
        <w:t>…………………</w:t>
      </w:r>
      <w:r w:rsidR="0079012C">
        <w:rPr>
          <w:b/>
          <w:bCs/>
          <w:lang w:val="nl-NL"/>
        </w:rPr>
        <w:t>9</w:t>
      </w:r>
    </w:p>
    <w:p w14:paraId="1448858F" w14:textId="40A71587" w:rsidR="00627ECA" w:rsidRPr="00627ECA" w:rsidRDefault="00627ECA" w:rsidP="008D72C3">
      <w:pPr>
        <w:tabs>
          <w:tab w:val="right" w:pos="9026"/>
        </w:tabs>
        <w:spacing w:line="240" w:lineRule="auto"/>
        <w:ind w:left="426"/>
        <w:jc w:val="both"/>
        <w:rPr>
          <w:b/>
          <w:bCs/>
          <w:lang w:val="nl-NL"/>
        </w:rPr>
      </w:pPr>
      <w:r w:rsidRPr="00627ECA">
        <w:rPr>
          <w:b/>
          <w:bCs/>
          <w:lang w:val="nl-NL"/>
        </w:rPr>
        <w:t>4)</w:t>
      </w:r>
      <w:r>
        <w:rPr>
          <w:b/>
          <w:bCs/>
          <w:lang w:val="nl-NL"/>
        </w:rPr>
        <w:t xml:space="preserve"> </w:t>
      </w:r>
      <w:r w:rsidRPr="00627ECA">
        <w:rPr>
          <w:b/>
          <w:bCs/>
          <w:lang w:val="nl-NL"/>
        </w:rPr>
        <w:t>Basisinbreuken………………………………………………………………………………</w:t>
      </w:r>
      <w:r w:rsidRPr="00627ECA">
        <w:rPr>
          <w:b/>
          <w:bCs/>
          <w:lang w:val="nl-NL"/>
        </w:rPr>
        <w:t>………………………</w:t>
      </w:r>
      <w:r w:rsidR="00D81D80">
        <w:rPr>
          <w:b/>
          <w:bCs/>
          <w:lang w:val="nl-NL"/>
        </w:rPr>
        <w:t>…………..9</w:t>
      </w:r>
    </w:p>
    <w:p w14:paraId="3D387725" w14:textId="067C066F" w:rsidR="00627ECA" w:rsidRPr="00627ECA" w:rsidRDefault="00627ECA" w:rsidP="008D72C3">
      <w:pPr>
        <w:spacing w:line="240" w:lineRule="auto"/>
        <w:ind w:left="426"/>
        <w:jc w:val="both"/>
        <w:rPr>
          <w:lang w:val="nl-NL"/>
        </w:rPr>
      </w:pPr>
      <w:r w:rsidRPr="00627ECA">
        <w:rPr>
          <w:lang w:val="nl-NL"/>
        </w:rPr>
        <w:t>4.1 Aantasting van de seksuele integriteit.</w:t>
      </w:r>
      <w:r w:rsidRPr="00627ECA">
        <w:rPr>
          <w:b/>
          <w:bCs/>
          <w:lang w:val="nl-NL"/>
        </w:rPr>
        <w:t xml:space="preserve"> </w:t>
      </w:r>
      <w:r>
        <w:rPr>
          <w:b/>
          <w:bCs/>
          <w:lang w:val="nl-NL"/>
        </w:rPr>
        <w:t>…………………………………………………………………</w:t>
      </w:r>
      <w:r>
        <w:rPr>
          <w:b/>
          <w:bCs/>
          <w:lang w:val="nl-NL"/>
        </w:rPr>
        <w:t>……</w:t>
      </w:r>
      <w:r w:rsidR="00D81D80">
        <w:rPr>
          <w:b/>
          <w:bCs/>
          <w:lang w:val="nl-NL"/>
        </w:rPr>
        <w:t>……….</w:t>
      </w:r>
      <w:r w:rsidRPr="00627ECA">
        <w:rPr>
          <w:lang w:val="nl-NL"/>
        </w:rPr>
        <w:t>9</w:t>
      </w:r>
    </w:p>
    <w:p w14:paraId="3A3FA91F" w14:textId="761AD5FB" w:rsidR="00627ECA" w:rsidRPr="00627ECA" w:rsidRDefault="00627ECA" w:rsidP="008D72C3">
      <w:pPr>
        <w:tabs>
          <w:tab w:val="right" w:pos="9026"/>
        </w:tabs>
        <w:spacing w:line="240" w:lineRule="auto"/>
        <w:ind w:left="426"/>
        <w:jc w:val="both"/>
        <w:rPr>
          <w:lang w:val="nl-NL"/>
        </w:rPr>
      </w:pPr>
      <w:r w:rsidRPr="00627ECA">
        <w:rPr>
          <w:lang w:val="nl-NL"/>
        </w:rPr>
        <w:t>4.2 Voyeurisme en niet-consensuele verspreiding van seksueel getinte inhoud</w:t>
      </w:r>
      <w:r>
        <w:rPr>
          <w:lang w:val="nl-NL"/>
        </w:rPr>
        <w:t>……………………</w:t>
      </w:r>
      <w:r w:rsidR="00D81D80">
        <w:rPr>
          <w:lang w:val="nl-NL"/>
        </w:rPr>
        <w:t>……..</w:t>
      </w:r>
      <w:r w:rsidRPr="00627ECA">
        <w:rPr>
          <w:lang w:val="nl-NL"/>
        </w:rPr>
        <w:t>9</w:t>
      </w:r>
    </w:p>
    <w:p w14:paraId="7E5FF76E" w14:textId="78F4D961" w:rsidR="00627ECA" w:rsidRDefault="00627ECA" w:rsidP="0079012C">
      <w:pPr>
        <w:tabs>
          <w:tab w:val="right" w:pos="9026"/>
        </w:tabs>
        <w:spacing w:line="240" w:lineRule="auto"/>
        <w:ind w:left="426"/>
        <w:jc w:val="both"/>
        <w:rPr>
          <w:lang w:val="nl-NL"/>
        </w:rPr>
      </w:pPr>
      <w:r w:rsidRPr="00627ECA">
        <w:rPr>
          <w:lang w:val="nl-NL"/>
        </w:rPr>
        <w:t>4.3 Verkrachting.</w:t>
      </w:r>
      <w:r w:rsidRPr="00627ECA">
        <w:rPr>
          <w:b/>
          <w:bCs/>
          <w:lang w:val="nl-NL"/>
        </w:rPr>
        <w:t xml:space="preserve"> </w:t>
      </w:r>
      <w:r>
        <w:rPr>
          <w:b/>
          <w:bCs/>
          <w:lang w:val="nl-NL"/>
        </w:rPr>
        <w:t>………………………………………………………………………………</w:t>
      </w:r>
      <w:r>
        <w:rPr>
          <w:b/>
          <w:bCs/>
          <w:lang w:val="nl-NL"/>
        </w:rPr>
        <w:t>……………………………….</w:t>
      </w:r>
      <w:r w:rsidRPr="00627ECA">
        <w:rPr>
          <w:lang w:val="nl-NL"/>
        </w:rPr>
        <w:tab/>
      </w:r>
      <w:r w:rsidR="00D81D80">
        <w:rPr>
          <w:lang w:val="nl-NL"/>
        </w:rPr>
        <w:t>…</w:t>
      </w:r>
      <w:r w:rsidR="0079012C">
        <w:rPr>
          <w:lang w:val="nl-NL"/>
        </w:rPr>
        <w:t>10</w:t>
      </w:r>
    </w:p>
    <w:p w14:paraId="5D4B5C80" w14:textId="2E886AF9" w:rsidR="00627ECA" w:rsidRPr="00E62EA4" w:rsidRDefault="00627ECA" w:rsidP="008D72C3">
      <w:pPr>
        <w:tabs>
          <w:tab w:val="right" w:pos="9026"/>
        </w:tabs>
        <w:spacing w:line="240" w:lineRule="auto"/>
        <w:ind w:left="426"/>
        <w:jc w:val="both"/>
        <w:rPr>
          <w:b/>
          <w:bCs/>
          <w:lang w:val="nl-NL"/>
        </w:rPr>
      </w:pPr>
      <w:r w:rsidRPr="00E62EA4">
        <w:rPr>
          <w:b/>
          <w:bCs/>
          <w:lang w:val="nl-NL"/>
        </w:rPr>
        <w:t>5) Misbruik van prostitutie</w:t>
      </w:r>
      <w:r w:rsidR="00D81D80">
        <w:rPr>
          <w:b/>
          <w:bCs/>
          <w:lang w:val="nl-NL"/>
        </w:rPr>
        <w:t>……………………………………………………………………………………………………</w:t>
      </w:r>
      <w:r w:rsidRPr="00E62EA4">
        <w:rPr>
          <w:b/>
          <w:bCs/>
          <w:lang w:val="nl-NL"/>
        </w:rPr>
        <w:t>10</w:t>
      </w:r>
    </w:p>
    <w:p w14:paraId="2F2894EF" w14:textId="66A137A9" w:rsidR="00627ECA" w:rsidRPr="00E62EA4" w:rsidRDefault="00627ECA" w:rsidP="008D72C3">
      <w:pPr>
        <w:tabs>
          <w:tab w:val="right" w:pos="9026"/>
        </w:tabs>
        <w:spacing w:line="240" w:lineRule="auto"/>
        <w:ind w:left="426"/>
        <w:jc w:val="both"/>
        <w:rPr>
          <w:b/>
          <w:bCs/>
          <w:lang w:val="nl-NL"/>
        </w:rPr>
      </w:pPr>
      <w:r w:rsidRPr="00E62EA4">
        <w:rPr>
          <w:b/>
          <w:bCs/>
          <w:lang w:val="nl-NL"/>
        </w:rPr>
        <w:t>6) Verzwaring van het strafstelsel en harmonisering van de verzwaarde misdrijven, en aanpassing van de wet betreffende de opschorting, het uitstel en de probatie</w:t>
      </w:r>
      <w:r w:rsidR="00D81D80">
        <w:rPr>
          <w:b/>
          <w:bCs/>
          <w:lang w:val="nl-NL"/>
        </w:rPr>
        <w:t>……………………………………………………………………………………………………………………………….</w:t>
      </w:r>
      <w:r w:rsidRPr="00E62EA4">
        <w:rPr>
          <w:b/>
          <w:bCs/>
          <w:lang w:val="nl-NL"/>
        </w:rPr>
        <w:t>10</w:t>
      </w:r>
    </w:p>
    <w:p w14:paraId="42E66705" w14:textId="11E86406" w:rsidR="00627ECA" w:rsidRPr="00E62EA4" w:rsidRDefault="00627ECA" w:rsidP="008D72C3">
      <w:pPr>
        <w:tabs>
          <w:tab w:val="right" w:pos="9026"/>
        </w:tabs>
        <w:spacing w:line="240" w:lineRule="auto"/>
        <w:jc w:val="both"/>
        <w:rPr>
          <w:b/>
          <w:bCs/>
          <w:lang w:val="nl-NL"/>
        </w:rPr>
      </w:pPr>
      <w:r w:rsidRPr="00E62EA4">
        <w:rPr>
          <w:b/>
          <w:bCs/>
          <w:lang w:val="nl-NL"/>
        </w:rPr>
        <w:t>V.</w:t>
      </w:r>
      <w:r w:rsidRPr="00E62EA4">
        <w:rPr>
          <w:b/>
          <w:bCs/>
          <w:lang w:val="nl-NL"/>
        </w:rPr>
        <w:tab/>
        <w:t>Analyse van het nieuwe hoofdstuk I/1 van het Strafwetboek:</w:t>
      </w:r>
      <w:r w:rsidR="00D81D80">
        <w:rPr>
          <w:b/>
          <w:bCs/>
          <w:lang w:val="nl-NL"/>
        </w:rPr>
        <w:t>…………………………………</w:t>
      </w:r>
      <w:r w:rsidR="007D776C">
        <w:rPr>
          <w:b/>
          <w:bCs/>
          <w:lang w:val="nl-NL"/>
        </w:rPr>
        <w:t>……….</w:t>
      </w:r>
      <w:r w:rsidR="009C15CF">
        <w:rPr>
          <w:b/>
          <w:bCs/>
          <w:lang w:val="nl-NL"/>
        </w:rPr>
        <w:t>.</w:t>
      </w:r>
      <w:r w:rsidRPr="00E62EA4">
        <w:rPr>
          <w:b/>
          <w:bCs/>
          <w:lang w:val="nl-NL"/>
        </w:rPr>
        <w:t>12</w:t>
      </w:r>
    </w:p>
    <w:p w14:paraId="1C0B0EA0" w14:textId="70AFC592" w:rsidR="00627ECA" w:rsidRPr="00627ECA" w:rsidRDefault="00627ECA" w:rsidP="008D72C3">
      <w:pPr>
        <w:tabs>
          <w:tab w:val="right" w:pos="9026"/>
        </w:tabs>
        <w:spacing w:line="240" w:lineRule="auto"/>
        <w:jc w:val="both"/>
        <w:rPr>
          <w:lang w:val="nl-NL"/>
        </w:rPr>
      </w:pPr>
      <w:r w:rsidRPr="00627ECA">
        <w:rPr>
          <w:lang w:val="nl-NL"/>
        </w:rPr>
        <w:t>Misdrijven tegen de seksuele integriteit, het seksuele zelfbeschikkingsrecht en de goede zeden</w:t>
      </w:r>
      <w:r w:rsidR="007D776C">
        <w:rPr>
          <w:lang w:val="nl-NL"/>
        </w:rPr>
        <w:t>…......</w:t>
      </w:r>
      <w:r w:rsidRPr="00627ECA">
        <w:rPr>
          <w:lang w:val="nl-NL"/>
        </w:rPr>
        <w:t>12</w:t>
      </w:r>
    </w:p>
    <w:p w14:paraId="6F3CC180" w14:textId="69B67A56" w:rsidR="00627ECA" w:rsidRPr="00E62EA4" w:rsidRDefault="00627ECA" w:rsidP="008D72C3">
      <w:pPr>
        <w:tabs>
          <w:tab w:val="right" w:pos="8931"/>
        </w:tabs>
        <w:spacing w:line="240" w:lineRule="auto"/>
        <w:ind w:left="426"/>
        <w:jc w:val="both"/>
        <w:rPr>
          <w:b/>
          <w:bCs/>
          <w:lang w:val="nl-NL"/>
        </w:rPr>
      </w:pPr>
      <w:r w:rsidRPr="00E62EA4">
        <w:rPr>
          <w:b/>
          <w:bCs/>
          <w:lang w:val="nl-NL"/>
        </w:rPr>
        <w:t>Structuur van hoofdstuk I/1:</w:t>
      </w:r>
      <w:r w:rsidR="007D776C">
        <w:rPr>
          <w:b/>
          <w:bCs/>
          <w:lang w:val="nl-NL"/>
        </w:rPr>
        <w:t>………………………………………………………………………………………………..</w:t>
      </w:r>
      <w:r w:rsidR="007D776C" w:rsidRPr="00E62EA4">
        <w:rPr>
          <w:b/>
          <w:bCs/>
          <w:lang w:val="nl-NL"/>
        </w:rPr>
        <w:t xml:space="preserve"> </w:t>
      </w:r>
      <w:r w:rsidRPr="00E62EA4">
        <w:rPr>
          <w:b/>
          <w:bCs/>
          <w:lang w:val="nl-NL"/>
        </w:rPr>
        <w:t>12</w:t>
      </w:r>
    </w:p>
    <w:p w14:paraId="08D8403E" w14:textId="790100D1" w:rsidR="00627ECA" w:rsidRPr="00E62EA4" w:rsidRDefault="00627ECA" w:rsidP="008D72C3">
      <w:pPr>
        <w:tabs>
          <w:tab w:val="right" w:pos="9026"/>
        </w:tabs>
        <w:spacing w:line="240" w:lineRule="auto"/>
        <w:ind w:left="426"/>
        <w:jc w:val="both"/>
        <w:rPr>
          <w:b/>
          <w:bCs/>
          <w:lang w:val="nl-NL"/>
        </w:rPr>
      </w:pPr>
      <w:r w:rsidRPr="00E62EA4">
        <w:rPr>
          <w:b/>
          <w:bCs/>
          <w:lang w:val="nl-NL"/>
        </w:rPr>
        <w:t>Afdeling 1: Aantasting van de seksuele integriteit, voyeurisme, niet-consensuele verspreiding van seksueel getinte inhoud en verkrachting</w:t>
      </w:r>
      <w:r w:rsidR="007D776C">
        <w:rPr>
          <w:b/>
          <w:bCs/>
          <w:lang w:val="nl-NL"/>
        </w:rPr>
        <w:t>…………………………………………………………………………</w:t>
      </w:r>
      <w:r w:rsidRPr="00E62EA4">
        <w:rPr>
          <w:b/>
          <w:bCs/>
          <w:lang w:val="nl-NL"/>
        </w:rPr>
        <w:t>13</w:t>
      </w:r>
    </w:p>
    <w:p w14:paraId="6B253DFF" w14:textId="518C5C33" w:rsidR="00627ECA" w:rsidRPr="008537FF" w:rsidRDefault="00627ECA" w:rsidP="008D72C3">
      <w:pPr>
        <w:tabs>
          <w:tab w:val="left" w:pos="709"/>
          <w:tab w:val="right" w:pos="9026"/>
        </w:tabs>
        <w:spacing w:line="240" w:lineRule="auto"/>
        <w:ind w:firstLine="720"/>
        <w:jc w:val="both"/>
        <w:rPr>
          <w:lang w:val="nl-NL"/>
        </w:rPr>
      </w:pPr>
      <w:r w:rsidRPr="008537FF">
        <w:rPr>
          <w:lang w:val="nl-NL"/>
        </w:rPr>
        <w:t>Onderafdeling 1: Toestemming met betrekking tot het seksueel zelfbeschikkingsrecht</w:t>
      </w:r>
      <w:r w:rsidR="007D776C" w:rsidRPr="008537FF">
        <w:rPr>
          <w:lang w:val="nl-NL"/>
        </w:rPr>
        <w:t>……….</w:t>
      </w:r>
      <w:r w:rsidRPr="008537FF">
        <w:rPr>
          <w:lang w:val="nl-NL"/>
        </w:rPr>
        <w:t>13</w:t>
      </w:r>
    </w:p>
    <w:p w14:paraId="0EC857AD" w14:textId="1EFA47DC" w:rsidR="00627ECA" w:rsidRPr="008537FF" w:rsidRDefault="00627ECA" w:rsidP="008D72C3">
      <w:pPr>
        <w:tabs>
          <w:tab w:val="right" w:pos="9026"/>
        </w:tabs>
        <w:spacing w:line="240" w:lineRule="auto"/>
        <w:ind w:left="709"/>
        <w:jc w:val="both"/>
        <w:rPr>
          <w:lang w:val="nl-NL"/>
        </w:rPr>
      </w:pPr>
      <w:r w:rsidRPr="008537FF">
        <w:rPr>
          <w:lang w:val="nl-NL"/>
        </w:rPr>
        <w:t>Art. 417/5- Toestemming</w:t>
      </w:r>
      <w:r w:rsidR="007D776C" w:rsidRPr="008537FF">
        <w:rPr>
          <w:lang w:val="nl-NL"/>
        </w:rPr>
        <w:t>………………………………………………………</w:t>
      </w:r>
      <w:r w:rsidR="007D776C" w:rsidRPr="008537FF">
        <w:rPr>
          <w:lang w:val="nl-NL"/>
        </w:rPr>
        <w:t>…………………………………………</w:t>
      </w:r>
      <w:r w:rsidR="008537FF">
        <w:rPr>
          <w:lang w:val="nl-NL"/>
        </w:rPr>
        <w:t>….</w:t>
      </w:r>
      <w:r w:rsidRPr="008537FF">
        <w:rPr>
          <w:lang w:val="nl-NL"/>
        </w:rPr>
        <w:t>14</w:t>
      </w:r>
    </w:p>
    <w:p w14:paraId="36D83B06" w14:textId="0DE0021B" w:rsidR="00627ECA" w:rsidRPr="008537FF" w:rsidRDefault="00627ECA" w:rsidP="008D72C3">
      <w:pPr>
        <w:tabs>
          <w:tab w:val="right" w:pos="9026"/>
        </w:tabs>
        <w:spacing w:line="240" w:lineRule="auto"/>
        <w:ind w:left="709"/>
        <w:jc w:val="both"/>
        <w:rPr>
          <w:lang w:val="nl-NL"/>
        </w:rPr>
      </w:pPr>
      <w:r w:rsidRPr="008537FF">
        <w:rPr>
          <w:lang w:val="nl-NL"/>
        </w:rPr>
        <w:t>Art. 417/6- Seksuele meerderjarigheid.</w:t>
      </w:r>
      <w:r w:rsidR="007D776C" w:rsidRPr="008537FF">
        <w:rPr>
          <w:lang w:val="nl-NL"/>
        </w:rPr>
        <w:t xml:space="preserve"> </w:t>
      </w:r>
      <w:r w:rsidR="007D776C" w:rsidRPr="008537FF">
        <w:rPr>
          <w:lang w:val="nl-NL"/>
        </w:rPr>
        <w:t>………………………………………………………</w:t>
      </w:r>
      <w:r w:rsidR="007D776C" w:rsidRPr="008537FF">
        <w:rPr>
          <w:lang w:val="nl-NL"/>
        </w:rPr>
        <w:t>……………………</w:t>
      </w:r>
      <w:r w:rsidR="008537FF">
        <w:rPr>
          <w:lang w:val="nl-NL"/>
        </w:rPr>
        <w:t>….</w:t>
      </w:r>
      <w:r w:rsidRPr="008537FF">
        <w:rPr>
          <w:lang w:val="nl-NL"/>
        </w:rPr>
        <w:t>17</w:t>
      </w:r>
    </w:p>
    <w:p w14:paraId="205D3158" w14:textId="46872C0D" w:rsidR="00627ECA" w:rsidRPr="008537FF" w:rsidRDefault="00627ECA" w:rsidP="008D72C3">
      <w:pPr>
        <w:tabs>
          <w:tab w:val="right" w:pos="8931"/>
        </w:tabs>
        <w:spacing w:line="240" w:lineRule="auto"/>
        <w:ind w:left="709"/>
        <w:jc w:val="both"/>
        <w:rPr>
          <w:lang w:val="nl-NL"/>
        </w:rPr>
      </w:pPr>
      <w:r w:rsidRPr="008537FF">
        <w:rPr>
          <w:lang w:val="nl-NL"/>
        </w:rPr>
        <w:t>Onderafdeling 2: Basismisdrijven</w:t>
      </w:r>
      <w:r w:rsidR="007D776C" w:rsidRPr="008537FF">
        <w:rPr>
          <w:lang w:val="nl-NL"/>
        </w:rPr>
        <w:t>………………………………………………………</w:t>
      </w:r>
      <w:r w:rsidR="007D776C" w:rsidRPr="008537FF">
        <w:rPr>
          <w:lang w:val="nl-NL"/>
        </w:rPr>
        <w:t>………………………………</w:t>
      </w:r>
      <w:r w:rsidR="008537FF">
        <w:rPr>
          <w:lang w:val="nl-NL"/>
        </w:rPr>
        <w:t>…</w:t>
      </w:r>
      <w:r w:rsidRPr="008537FF">
        <w:rPr>
          <w:lang w:val="nl-NL"/>
        </w:rPr>
        <w:t>21</w:t>
      </w:r>
    </w:p>
    <w:p w14:paraId="323AC07B" w14:textId="6263F712" w:rsidR="00627ECA" w:rsidRPr="008537FF" w:rsidRDefault="00627ECA" w:rsidP="008D72C3">
      <w:pPr>
        <w:tabs>
          <w:tab w:val="right" w:pos="8931"/>
        </w:tabs>
        <w:spacing w:line="240" w:lineRule="auto"/>
        <w:ind w:left="709"/>
        <w:jc w:val="both"/>
        <w:rPr>
          <w:lang w:val="nl-NL"/>
        </w:rPr>
      </w:pPr>
      <w:r w:rsidRPr="008537FF">
        <w:rPr>
          <w:lang w:val="nl-NL"/>
        </w:rPr>
        <w:t>Art. 417/7- Aantasting van de seksuele integriteit.</w:t>
      </w:r>
      <w:r w:rsidR="00D5613A" w:rsidRPr="008537FF">
        <w:rPr>
          <w:lang w:val="nl-NL"/>
        </w:rPr>
        <w:t xml:space="preserve"> </w:t>
      </w:r>
      <w:r w:rsidR="00D5613A" w:rsidRPr="008537FF">
        <w:rPr>
          <w:lang w:val="nl-NL"/>
        </w:rPr>
        <w:t>………………………………………………………</w:t>
      </w:r>
      <w:r w:rsidR="00D5613A" w:rsidRPr="008537FF">
        <w:rPr>
          <w:lang w:val="nl-NL"/>
        </w:rPr>
        <w:t>……</w:t>
      </w:r>
      <w:r w:rsidR="008537FF">
        <w:rPr>
          <w:lang w:val="nl-NL"/>
        </w:rPr>
        <w:t>…</w:t>
      </w:r>
      <w:r w:rsidRPr="008537FF">
        <w:rPr>
          <w:lang w:val="nl-NL"/>
        </w:rPr>
        <w:t>21</w:t>
      </w:r>
    </w:p>
    <w:p w14:paraId="12F6FB6A" w14:textId="7D0E65C2" w:rsidR="00627ECA" w:rsidRPr="008537FF" w:rsidRDefault="00627ECA" w:rsidP="008D72C3">
      <w:pPr>
        <w:tabs>
          <w:tab w:val="right" w:pos="8931"/>
        </w:tabs>
        <w:spacing w:line="240" w:lineRule="auto"/>
        <w:ind w:left="709"/>
        <w:jc w:val="both"/>
        <w:rPr>
          <w:lang w:val="nl-NL"/>
        </w:rPr>
      </w:pPr>
      <w:r w:rsidRPr="008537FF">
        <w:rPr>
          <w:lang w:val="nl-NL"/>
        </w:rPr>
        <w:t>Art. 417/8- Voyeurisme.</w:t>
      </w:r>
      <w:r w:rsidR="008537FF">
        <w:rPr>
          <w:lang w:val="nl-NL"/>
        </w:rPr>
        <w:t>.</w:t>
      </w:r>
      <w:r w:rsidR="00D5613A" w:rsidRPr="008537FF">
        <w:rPr>
          <w:lang w:val="nl-NL"/>
        </w:rPr>
        <w:t>………………………………………………………</w:t>
      </w:r>
      <w:r w:rsidR="00D5613A" w:rsidRPr="008537FF">
        <w:rPr>
          <w:lang w:val="nl-NL"/>
        </w:rPr>
        <w:t>…………………………………………</w:t>
      </w:r>
      <w:r w:rsidR="008537FF">
        <w:rPr>
          <w:lang w:val="nl-NL"/>
        </w:rPr>
        <w:t>…..</w:t>
      </w:r>
      <w:r w:rsidRPr="008537FF">
        <w:rPr>
          <w:lang w:val="nl-NL"/>
        </w:rPr>
        <w:t>23</w:t>
      </w:r>
    </w:p>
    <w:p w14:paraId="2817C4FC" w14:textId="1FCA3758" w:rsidR="00627ECA" w:rsidRPr="008537FF" w:rsidRDefault="00627ECA" w:rsidP="008D72C3">
      <w:pPr>
        <w:tabs>
          <w:tab w:val="right" w:pos="8931"/>
        </w:tabs>
        <w:spacing w:line="240" w:lineRule="auto"/>
        <w:ind w:left="709"/>
        <w:jc w:val="both"/>
        <w:rPr>
          <w:lang w:val="nl-NL"/>
        </w:rPr>
      </w:pPr>
      <w:r w:rsidRPr="008537FF">
        <w:rPr>
          <w:lang w:val="nl-NL"/>
        </w:rPr>
        <w:t>Art. 417/9- Niet-consensuele verspreiding van seksueel getinte inhoud</w:t>
      </w:r>
      <w:r w:rsidR="00D5613A" w:rsidRPr="008537FF">
        <w:rPr>
          <w:lang w:val="nl-NL"/>
        </w:rPr>
        <w:t>……………………………….</w:t>
      </w:r>
      <w:r w:rsidRPr="008537FF">
        <w:rPr>
          <w:lang w:val="nl-NL"/>
        </w:rPr>
        <w:t>25</w:t>
      </w:r>
    </w:p>
    <w:p w14:paraId="32ECC938" w14:textId="1F529FCE" w:rsidR="00627ECA" w:rsidRPr="008537FF" w:rsidRDefault="00627ECA" w:rsidP="008D72C3">
      <w:pPr>
        <w:tabs>
          <w:tab w:val="right" w:pos="9026"/>
        </w:tabs>
        <w:spacing w:line="240" w:lineRule="auto"/>
        <w:ind w:left="709"/>
        <w:jc w:val="both"/>
        <w:rPr>
          <w:lang w:val="nl-NL"/>
        </w:rPr>
      </w:pPr>
      <w:r w:rsidRPr="008537FF">
        <w:rPr>
          <w:lang w:val="nl-NL"/>
        </w:rPr>
        <w:t>Art. 417/10- Niet-consensuele verspreiding, met kwaadwillig opzet of uit winstbejag, van seksueel getinte inhoud</w:t>
      </w:r>
      <w:r w:rsidR="00D5613A" w:rsidRPr="008537FF">
        <w:rPr>
          <w:lang w:val="nl-NL"/>
        </w:rPr>
        <w:t>.</w:t>
      </w:r>
      <w:r w:rsidR="00D5613A" w:rsidRPr="008537FF">
        <w:rPr>
          <w:lang w:val="nl-NL"/>
        </w:rPr>
        <w:t>………………………………………………………</w:t>
      </w:r>
      <w:r w:rsidR="00D5613A" w:rsidRPr="008537FF">
        <w:rPr>
          <w:lang w:val="nl-NL"/>
        </w:rPr>
        <w:t>…………………………………………</w:t>
      </w:r>
      <w:r w:rsidR="008537FF">
        <w:rPr>
          <w:lang w:val="nl-NL"/>
        </w:rPr>
        <w:t>……</w:t>
      </w:r>
      <w:r w:rsidRPr="008537FF">
        <w:rPr>
          <w:lang w:val="nl-NL"/>
        </w:rPr>
        <w:t>26</w:t>
      </w:r>
    </w:p>
    <w:p w14:paraId="40F042BC" w14:textId="2C21BB3C" w:rsidR="00627ECA" w:rsidRPr="008537FF" w:rsidRDefault="00627ECA" w:rsidP="008D72C3">
      <w:pPr>
        <w:tabs>
          <w:tab w:val="right" w:pos="9026"/>
        </w:tabs>
        <w:spacing w:line="240" w:lineRule="auto"/>
        <w:ind w:left="709"/>
        <w:jc w:val="both"/>
        <w:rPr>
          <w:lang w:val="nl-NL"/>
        </w:rPr>
      </w:pPr>
      <w:r w:rsidRPr="008537FF">
        <w:rPr>
          <w:lang w:val="nl-NL"/>
        </w:rPr>
        <w:t>Art. 417/11- Verkrachting</w:t>
      </w:r>
      <w:r w:rsidR="00D5613A" w:rsidRPr="008537FF">
        <w:rPr>
          <w:lang w:val="nl-NL"/>
        </w:rPr>
        <w:t>………………………………………………………</w:t>
      </w:r>
      <w:r w:rsidR="00D5613A" w:rsidRPr="008537FF">
        <w:rPr>
          <w:lang w:val="nl-NL"/>
        </w:rPr>
        <w:t>…………………………………………</w:t>
      </w:r>
      <w:r w:rsidR="008537FF">
        <w:rPr>
          <w:lang w:val="nl-NL"/>
        </w:rPr>
        <w:t>….</w:t>
      </w:r>
      <w:r w:rsidRPr="008537FF">
        <w:rPr>
          <w:lang w:val="nl-NL"/>
        </w:rPr>
        <w:t>2</w:t>
      </w:r>
      <w:r w:rsidR="0079012C">
        <w:rPr>
          <w:lang w:val="nl-NL"/>
        </w:rPr>
        <w:t>7</w:t>
      </w:r>
    </w:p>
    <w:p w14:paraId="5C3CF485" w14:textId="3D9B45A9" w:rsidR="00627ECA" w:rsidRPr="008537FF" w:rsidRDefault="00627ECA" w:rsidP="008D72C3">
      <w:pPr>
        <w:tabs>
          <w:tab w:val="right" w:pos="8931"/>
        </w:tabs>
        <w:spacing w:line="240" w:lineRule="auto"/>
        <w:ind w:left="709"/>
        <w:jc w:val="both"/>
        <w:rPr>
          <w:lang w:val="nl-NL"/>
        </w:rPr>
      </w:pPr>
      <w:r w:rsidRPr="008537FF">
        <w:rPr>
          <w:lang w:val="nl-NL"/>
        </w:rPr>
        <w:lastRenderedPageBreak/>
        <w:t>Onderafdeling 3: Verzwaarde misdrijven</w:t>
      </w:r>
      <w:r w:rsidR="00D5613A" w:rsidRPr="008537FF">
        <w:rPr>
          <w:lang w:val="nl-NL"/>
        </w:rPr>
        <w:t>………………………………………………………</w:t>
      </w:r>
      <w:r w:rsidR="00D5613A" w:rsidRPr="008537FF">
        <w:rPr>
          <w:lang w:val="nl-NL"/>
        </w:rPr>
        <w:t>…………………</w:t>
      </w:r>
      <w:r w:rsidR="008537FF">
        <w:rPr>
          <w:lang w:val="nl-NL"/>
        </w:rPr>
        <w:t>…..</w:t>
      </w:r>
      <w:r w:rsidRPr="008537FF">
        <w:rPr>
          <w:lang w:val="nl-NL"/>
        </w:rPr>
        <w:t>2</w:t>
      </w:r>
      <w:r w:rsidR="0079012C">
        <w:rPr>
          <w:lang w:val="nl-NL"/>
        </w:rPr>
        <w:t>8</w:t>
      </w:r>
    </w:p>
    <w:p w14:paraId="297D846F" w14:textId="0D1AB06C" w:rsidR="00627ECA" w:rsidRPr="008537FF" w:rsidRDefault="00627ECA" w:rsidP="008D72C3">
      <w:pPr>
        <w:tabs>
          <w:tab w:val="right" w:pos="8931"/>
        </w:tabs>
        <w:spacing w:line="240" w:lineRule="auto"/>
        <w:ind w:left="709"/>
        <w:jc w:val="both"/>
        <w:rPr>
          <w:lang w:val="nl-NL"/>
        </w:rPr>
      </w:pPr>
      <w:r w:rsidRPr="008537FF">
        <w:rPr>
          <w:lang w:val="nl-NL"/>
        </w:rPr>
        <w:t>Art. 417/12- Niet-consensuele seksuele handelingen met de dood tot gevolg</w:t>
      </w:r>
      <w:r w:rsidR="00D5613A" w:rsidRPr="008537FF">
        <w:rPr>
          <w:lang w:val="nl-NL"/>
        </w:rPr>
        <w:t>……………………………………………………………………………………………………………………………</w:t>
      </w:r>
      <w:r w:rsidR="008537FF">
        <w:rPr>
          <w:lang w:val="nl-NL"/>
        </w:rPr>
        <w:t>…….</w:t>
      </w:r>
      <w:r w:rsidRPr="008537FF">
        <w:rPr>
          <w:lang w:val="nl-NL"/>
        </w:rPr>
        <w:t>29</w:t>
      </w:r>
    </w:p>
    <w:p w14:paraId="4F4E624D" w14:textId="2638AA5C" w:rsidR="00627ECA" w:rsidRPr="008537FF" w:rsidRDefault="00627ECA" w:rsidP="008D72C3">
      <w:pPr>
        <w:tabs>
          <w:tab w:val="right" w:pos="8931"/>
        </w:tabs>
        <w:spacing w:line="240" w:lineRule="auto"/>
        <w:ind w:left="709"/>
        <w:jc w:val="both"/>
        <w:rPr>
          <w:lang w:val="nl-NL"/>
        </w:rPr>
      </w:pPr>
      <w:r w:rsidRPr="008537FF">
        <w:rPr>
          <w:lang w:val="nl-NL"/>
        </w:rPr>
        <w:t>Art. 417/13- Niet-consensuele seksuele handelingen voorafgegaan door of gepaard gaand met foltering, opsluiting of zwaar geweld.</w:t>
      </w:r>
      <w:r w:rsidR="00D5613A" w:rsidRPr="008537FF">
        <w:rPr>
          <w:lang w:val="nl-NL"/>
        </w:rPr>
        <w:t xml:space="preserve"> </w:t>
      </w:r>
      <w:r w:rsidR="00D5613A" w:rsidRPr="008537FF">
        <w:rPr>
          <w:lang w:val="nl-NL"/>
        </w:rPr>
        <w:t>………………………………………………………</w:t>
      </w:r>
      <w:r w:rsidR="00D5613A" w:rsidRPr="008537FF">
        <w:rPr>
          <w:lang w:val="nl-NL"/>
        </w:rPr>
        <w:t>………………………</w:t>
      </w:r>
      <w:r w:rsidR="008537FF">
        <w:rPr>
          <w:lang w:val="nl-NL"/>
        </w:rPr>
        <w:t>….</w:t>
      </w:r>
      <w:r w:rsidRPr="008537FF">
        <w:rPr>
          <w:lang w:val="nl-NL"/>
        </w:rPr>
        <w:t>29</w:t>
      </w:r>
    </w:p>
    <w:p w14:paraId="0D1E04DC" w14:textId="3732C8DF" w:rsidR="00627ECA" w:rsidRPr="008537FF" w:rsidRDefault="00627ECA" w:rsidP="008D72C3">
      <w:pPr>
        <w:tabs>
          <w:tab w:val="right" w:pos="8931"/>
        </w:tabs>
        <w:spacing w:line="240" w:lineRule="auto"/>
        <w:ind w:left="709"/>
        <w:jc w:val="both"/>
        <w:rPr>
          <w:lang w:val="nl-NL"/>
        </w:rPr>
      </w:pPr>
      <w:r w:rsidRPr="008537FF">
        <w:rPr>
          <w:lang w:val="nl-NL"/>
        </w:rPr>
        <w:t>Art. 417/14- Niet-consensuele seksuele handelingen gepleegd onder bedreiging van een wapen of op een wapen gelijkend voorwerp of na toediening van weerloosmakende of remmingsverlagende stoffen</w:t>
      </w:r>
      <w:r w:rsidR="00D5613A" w:rsidRPr="008537FF">
        <w:rPr>
          <w:lang w:val="nl-NL"/>
        </w:rPr>
        <w:t>………………………………………………………</w:t>
      </w:r>
      <w:r w:rsidR="00D5613A" w:rsidRPr="008537FF">
        <w:rPr>
          <w:lang w:val="nl-NL"/>
        </w:rPr>
        <w:t>……………………………………</w:t>
      </w:r>
      <w:r w:rsidR="008537FF">
        <w:rPr>
          <w:lang w:val="nl-NL"/>
        </w:rPr>
        <w:t>….</w:t>
      </w:r>
      <w:r w:rsidRPr="008537FF">
        <w:rPr>
          <w:lang w:val="nl-NL"/>
        </w:rPr>
        <w:t>31</w:t>
      </w:r>
    </w:p>
    <w:p w14:paraId="53AD1A14" w14:textId="5D262CC3" w:rsidR="00627ECA" w:rsidRPr="008537FF" w:rsidRDefault="00627ECA" w:rsidP="008D72C3">
      <w:pPr>
        <w:tabs>
          <w:tab w:val="right" w:pos="8931"/>
        </w:tabs>
        <w:spacing w:line="240" w:lineRule="auto"/>
        <w:ind w:left="709"/>
        <w:jc w:val="both"/>
        <w:rPr>
          <w:lang w:val="nl-NL"/>
        </w:rPr>
      </w:pPr>
      <w:r w:rsidRPr="008537FF">
        <w:rPr>
          <w:lang w:val="nl-NL"/>
        </w:rPr>
        <w:t>Art. 417/15- Niet-consensuele seksuele handelingen gepleegd ten nadele van een persoon die in een kwetsbare toestand verkeert.</w:t>
      </w:r>
      <w:r w:rsidR="00D5613A" w:rsidRPr="008537FF">
        <w:rPr>
          <w:lang w:val="nl-NL"/>
        </w:rPr>
        <w:t xml:space="preserve"> </w:t>
      </w:r>
      <w:r w:rsidR="00D5613A" w:rsidRPr="008537FF">
        <w:rPr>
          <w:lang w:val="nl-NL"/>
        </w:rPr>
        <w:t>………………………………………………………</w:t>
      </w:r>
      <w:r w:rsidR="00D5613A" w:rsidRPr="008537FF">
        <w:rPr>
          <w:lang w:val="nl-NL"/>
        </w:rPr>
        <w:t>…………………….....</w:t>
      </w:r>
      <w:r w:rsidR="008537FF">
        <w:rPr>
          <w:lang w:val="nl-NL"/>
        </w:rPr>
        <w:t>...</w:t>
      </w:r>
      <w:r w:rsidRPr="008537FF">
        <w:rPr>
          <w:lang w:val="nl-NL"/>
        </w:rPr>
        <w:t>31</w:t>
      </w:r>
    </w:p>
    <w:p w14:paraId="32CE46E9" w14:textId="3E966E25" w:rsidR="00627ECA" w:rsidRPr="008537FF" w:rsidRDefault="00627ECA" w:rsidP="008D72C3">
      <w:pPr>
        <w:tabs>
          <w:tab w:val="right" w:pos="8931"/>
        </w:tabs>
        <w:spacing w:line="240" w:lineRule="auto"/>
        <w:ind w:left="709"/>
        <w:jc w:val="both"/>
        <w:rPr>
          <w:lang w:val="nl-NL"/>
        </w:rPr>
      </w:pPr>
      <w:r w:rsidRPr="008537FF">
        <w:rPr>
          <w:lang w:val="nl-NL"/>
        </w:rPr>
        <w:t>Art. 417/16- Niet-consensuele seksuele handelingen gepleegd ten nadele van een minderjarige die geen volle zestien jaar oud is</w:t>
      </w:r>
      <w:r w:rsidR="00D5613A" w:rsidRPr="008537FF">
        <w:rPr>
          <w:lang w:val="nl-NL"/>
        </w:rPr>
        <w:t>………………………………………………………</w:t>
      </w:r>
      <w:r w:rsidR="00D5613A" w:rsidRPr="008537FF">
        <w:rPr>
          <w:lang w:val="nl-NL"/>
        </w:rPr>
        <w:t>……….....</w:t>
      </w:r>
      <w:r w:rsidR="008537FF">
        <w:rPr>
          <w:lang w:val="nl-NL"/>
        </w:rPr>
        <w:t>...</w:t>
      </w:r>
      <w:r w:rsidRPr="008537FF">
        <w:rPr>
          <w:lang w:val="nl-NL"/>
        </w:rPr>
        <w:t>32</w:t>
      </w:r>
    </w:p>
    <w:p w14:paraId="2E8323B9" w14:textId="1F53EBC6" w:rsidR="00627ECA" w:rsidRPr="008537FF" w:rsidRDefault="00627ECA" w:rsidP="008D72C3">
      <w:pPr>
        <w:tabs>
          <w:tab w:val="right" w:pos="8931"/>
        </w:tabs>
        <w:spacing w:line="240" w:lineRule="auto"/>
        <w:ind w:left="709"/>
        <w:jc w:val="both"/>
        <w:rPr>
          <w:lang w:val="nl-NL"/>
        </w:rPr>
      </w:pPr>
      <w:r w:rsidRPr="008537FF">
        <w:rPr>
          <w:lang w:val="nl-NL"/>
        </w:rPr>
        <w:t>Art. 417/17- Niet-consensuele seksuele handelingen gepleegd ten nadele van een minderjarige boven de volle leeftijd van zestien jaar.</w:t>
      </w:r>
      <w:r w:rsidR="00D5613A" w:rsidRPr="008537FF">
        <w:rPr>
          <w:lang w:val="nl-NL"/>
        </w:rPr>
        <w:t xml:space="preserve"> </w:t>
      </w:r>
      <w:r w:rsidR="00D5613A" w:rsidRPr="008537FF">
        <w:rPr>
          <w:lang w:val="nl-NL"/>
        </w:rPr>
        <w:t>………………………………………………</w:t>
      </w:r>
      <w:r w:rsidR="00D5613A" w:rsidRPr="008537FF">
        <w:rPr>
          <w:lang w:val="nl-NL"/>
        </w:rPr>
        <w:t>…………</w:t>
      </w:r>
      <w:r w:rsidR="008537FF">
        <w:rPr>
          <w:lang w:val="nl-NL"/>
        </w:rPr>
        <w:t>..</w:t>
      </w:r>
      <w:r w:rsidR="00D5613A" w:rsidRPr="008537FF">
        <w:rPr>
          <w:lang w:val="nl-NL"/>
        </w:rPr>
        <w:t>3</w:t>
      </w:r>
      <w:r w:rsidR="0079012C">
        <w:rPr>
          <w:lang w:val="nl-NL"/>
        </w:rPr>
        <w:t>3</w:t>
      </w:r>
    </w:p>
    <w:p w14:paraId="77FE4A31" w14:textId="1AA9E307" w:rsidR="00627ECA" w:rsidRPr="008537FF" w:rsidRDefault="00627ECA" w:rsidP="008D72C3">
      <w:pPr>
        <w:tabs>
          <w:tab w:val="right" w:pos="8931"/>
        </w:tabs>
        <w:spacing w:line="240" w:lineRule="auto"/>
        <w:ind w:left="709"/>
        <w:jc w:val="both"/>
        <w:rPr>
          <w:lang w:val="nl-NL"/>
        </w:rPr>
      </w:pPr>
      <w:r w:rsidRPr="008537FF">
        <w:rPr>
          <w:lang w:val="nl-NL"/>
        </w:rPr>
        <w:t>Art. 417/18- Incest.</w:t>
      </w:r>
      <w:r w:rsidR="00D5613A" w:rsidRPr="008537FF">
        <w:rPr>
          <w:lang w:val="nl-NL"/>
        </w:rPr>
        <w:t xml:space="preserve"> </w:t>
      </w:r>
      <w:r w:rsidR="00D5613A" w:rsidRPr="008537FF">
        <w:rPr>
          <w:lang w:val="nl-NL"/>
        </w:rPr>
        <w:t>………………………………………………………</w:t>
      </w:r>
      <w:r w:rsidR="00971C98" w:rsidRPr="008537FF">
        <w:rPr>
          <w:lang w:val="nl-NL"/>
        </w:rPr>
        <w:t>…………………………………………………</w:t>
      </w:r>
      <w:r w:rsidR="008537FF">
        <w:rPr>
          <w:lang w:val="nl-NL"/>
        </w:rPr>
        <w:t>…..</w:t>
      </w:r>
      <w:r w:rsidRPr="008537FF">
        <w:rPr>
          <w:lang w:val="nl-NL"/>
        </w:rPr>
        <w:t>33</w:t>
      </w:r>
    </w:p>
    <w:p w14:paraId="71713FC5" w14:textId="3206C71F" w:rsidR="00627ECA" w:rsidRPr="008537FF" w:rsidRDefault="00627ECA" w:rsidP="008D72C3">
      <w:pPr>
        <w:tabs>
          <w:tab w:val="right" w:pos="8931"/>
        </w:tabs>
        <w:spacing w:line="240" w:lineRule="auto"/>
        <w:ind w:left="709"/>
        <w:jc w:val="both"/>
        <w:rPr>
          <w:lang w:val="nl-NL"/>
        </w:rPr>
      </w:pPr>
      <w:r w:rsidRPr="008537FF">
        <w:rPr>
          <w:lang w:val="nl-NL"/>
        </w:rPr>
        <w:t>Art. 417/19- Niet-consensuele intrafamiliale seksuele handelingen.</w:t>
      </w:r>
      <w:r w:rsidR="00971C98" w:rsidRPr="008537FF">
        <w:rPr>
          <w:lang w:val="nl-NL"/>
        </w:rPr>
        <w:t xml:space="preserve"> </w:t>
      </w:r>
      <w:r w:rsidR="00971C98" w:rsidRPr="008537FF">
        <w:rPr>
          <w:lang w:val="nl-NL"/>
        </w:rPr>
        <w:t>……………………………</w:t>
      </w:r>
      <w:r w:rsidR="00971C98" w:rsidRPr="008537FF">
        <w:rPr>
          <w:lang w:val="nl-NL"/>
        </w:rPr>
        <w:t>……..</w:t>
      </w:r>
      <w:r w:rsidRPr="008537FF">
        <w:rPr>
          <w:lang w:val="nl-NL"/>
        </w:rPr>
        <w:t>33</w:t>
      </w:r>
    </w:p>
    <w:p w14:paraId="20A86014" w14:textId="1606170D" w:rsidR="00627ECA" w:rsidRPr="008537FF" w:rsidRDefault="00627ECA" w:rsidP="008D72C3">
      <w:pPr>
        <w:tabs>
          <w:tab w:val="right" w:leader="dot" w:pos="9026"/>
        </w:tabs>
        <w:spacing w:line="240" w:lineRule="auto"/>
        <w:ind w:left="709"/>
        <w:jc w:val="both"/>
        <w:rPr>
          <w:lang w:val="nl-NL"/>
        </w:rPr>
      </w:pPr>
      <w:r w:rsidRPr="008537FF">
        <w:rPr>
          <w:lang w:val="nl-NL"/>
        </w:rPr>
        <w:t>Art. 417/20- Niet-consensuele seksuele handelingen op basis van een discriminerende drijfveer</w:t>
      </w:r>
      <w:r w:rsidR="005A4344">
        <w:rPr>
          <w:lang w:val="nl-NL"/>
        </w:rPr>
        <w:tab/>
      </w:r>
      <w:r w:rsidRPr="008537FF">
        <w:rPr>
          <w:lang w:val="nl-NL"/>
        </w:rPr>
        <w:t>34</w:t>
      </w:r>
    </w:p>
    <w:p w14:paraId="767AAE50" w14:textId="75EF59FC" w:rsidR="00627ECA" w:rsidRPr="008537FF" w:rsidRDefault="00627ECA" w:rsidP="008D72C3">
      <w:pPr>
        <w:tabs>
          <w:tab w:val="right" w:pos="9026"/>
        </w:tabs>
        <w:spacing w:line="240" w:lineRule="auto"/>
        <w:ind w:left="709"/>
        <w:jc w:val="both"/>
        <w:rPr>
          <w:lang w:val="nl-NL"/>
        </w:rPr>
      </w:pPr>
      <w:r w:rsidRPr="008537FF">
        <w:rPr>
          <w:lang w:val="nl-NL"/>
        </w:rPr>
        <w:t>Art. 417/21- Niet-consensuele seksuele handelingen gepleegd door een persoon die zich in een gezags- of vertrouwenspositie bevindt ten aanzien van het slachtoffer</w:t>
      </w:r>
      <w:r w:rsidR="00C03276" w:rsidRPr="008537FF">
        <w:rPr>
          <w:lang w:val="nl-NL"/>
        </w:rPr>
        <w:t>………………………….</w:t>
      </w:r>
      <w:r w:rsidRPr="008537FF">
        <w:rPr>
          <w:lang w:val="nl-NL"/>
        </w:rPr>
        <w:t>35</w:t>
      </w:r>
    </w:p>
    <w:p w14:paraId="5B7E251A" w14:textId="5BC5F500" w:rsidR="00627ECA" w:rsidRPr="008537FF" w:rsidRDefault="00627ECA" w:rsidP="008D72C3">
      <w:pPr>
        <w:tabs>
          <w:tab w:val="right" w:pos="8931"/>
        </w:tabs>
        <w:spacing w:line="240" w:lineRule="auto"/>
        <w:ind w:left="709"/>
        <w:jc w:val="both"/>
        <w:rPr>
          <w:lang w:val="nl-NL"/>
        </w:rPr>
      </w:pPr>
      <w:r w:rsidRPr="008537FF">
        <w:rPr>
          <w:lang w:val="nl-NL"/>
        </w:rPr>
        <w:t>Art. 417/22- Niet-consensuele seksuele handelingen gepleegd met de hulp of in aanwezigheid van een of meer personen.</w:t>
      </w:r>
      <w:r w:rsidR="00A86660" w:rsidRPr="008537FF">
        <w:rPr>
          <w:lang w:val="nl-NL"/>
        </w:rPr>
        <w:t xml:space="preserve"> </w:t>
      </w:r>
      <w:r w:rsidR="00A86660" w:rsidRPr="008537FF">
        <w:rPr>
          <w:lang w:val="nl-NL"/>
        </w:rPr>
        <w:t>……………………………………………………………………………………………</w:t>
      </w:r>
      <w:r w:rsidR="00A86660" w:rsidRPr="008537FF">
        <w:rPr>
          <w:lang w:val="nl-NL"/>
        </w:rPr>
        <w:t>…</w:t>
      </w:r>
      <w:r w:rsidR="008537FF">
        <w:rPr>
          <w:lang w:val="nl-NL"/>
        </w:rPr>
        <w:t>….</w:t>
      </w:r>
      <w:r w:rsidRPr="008537FF">
        <w:rPr>
          <w:lang w:val="nl-NL"/>
        </w:rPr>
        <w:t>36</w:t>
      </w:r>
    </w:p>
    <w:p w14:paraId="116241F8" w14:textId="170405BC" w:rsidR="00627ECA" w:rsidRPr="008537FF" w:rsidRDefault="00627ECA" w:rsidP="008D72C3">
      <w:pPr>
        <w:tabs>
          <w:tab w:val="right" w:pos="8931"/>
        </w:tabs>
        <w:spacing w:line="240" w:lineRule="auto"/>
        <w:ind w:left="709"/>
        <w:jc w:val="both"/>
        <w:rPr>
          <w:lang w:val="nl-NL"/>
        </w:rPr>
      </w:pPr>
      <w:r w:rsidRPr="008537FF">
        <w:rPr>
          <w:lang w:val="nl-NL"/>
        </w:rPr>
        <w:t>Onderafdeling 4: Algemene bepaling.</w:t>
      </w:r>
      <w:r w:rsidR="00A86660" w:rsidRPr="008537FF">
        <w:rPr>
          <w:lang w:val="nl-NL"/>
        </w:rPr>
        <w:t xml:space="preserve"> </w:t>
      </w:r>
      <w:r w:rsidR="00A86660" w:rsidRPr="008537FF">
        <w:rPr>
          <w:lang w:val="nl-NL"/>
        </w:rPr>
        <w:t>………………………………………………………</w:t>
      </w:r>
      <w:r w:rsidR="00A86660" w:rsidRPr="008537FF">
        <w:rPr>
          <w:lang w:val="nl-NL"/>
        </w:rPr>
        <w:t>………………………</w:t>
      </w:r>
      <w:r w:rsidR="008537FF">
        <w:rPr>
          <w:lang w:val="nl-NL"/>
        </w:rPr>
        <w:t>….</w:t>
      </w:r>
      <w:r w:rsidRPr="008537FF">
        <w:rPr>
          <w:lang w:val="nl-NL"/>
        </w:rPr>
        <w:t>36</w:t>
      </w:r>
    </w:p>
    <w:p w14:paraId="018993AD" w14:textId="39BABF15" w:rsidR="00627ECA" w:rsidRPr="008537FF" w:rsidRDefault="00627ECA" w:rsidP="008D72C3">
      <w:pPr>
        <w:tabs>
          <w:tab w:val="right" w:pos="8931"/>
        </w:tabs>
        <w:spacing w:line="240" w:lineRule="auto"/>
        <w:ind w:left="709"/>
        <w:jc w:val="both"/>
        <w:rPr>
          <w:lang w:val="nl-NL"/>
        </w:rPr>
      </w:pPr>
      <w:r w:rsidRPr="008537FF">
        <w:rPr>
          <w:lang w:val="nl-NL"/>
        </w:rPr>
        <w:t>Art. 417/23- Verzwarende factoren</w:t>
      </w:r>
      <w:r w:rsidR="008537FF" w:rsidRPr="008537FF">
        <w:rPr>
          <w:lang w:val="nl-NL"/>
        </w:rPr>
        <w:t>………………………………………………………</w:t>
      </w:r>
      <w:r w:rsidR="008537FF" w:rsidRPr="008537FF">
        <w:rPr>
          <w:lang w:val="nl-NL"/>
        </w:rPr>
        <w:t>…………………………</w:t>
      </w:r>
      <w:r w:rsidR="008537FF">
        <w:rPr>
          <w:lang w:val="nl-NL"/>
        </w:rPr>
        <w:t>…..</w:t>
      </w:r>
      <w:r w:rsidRPr="008537FF">
        <w:rPr>
          <w:lang w:val="nl-NL"/>
        </w:rPr>
        <w:t>36</w:t>
      </w:r>
    </w:p>
    <w:p w14:paraId="15F2F964" w14:textId="29954228" w:rsidR="00627ECA" w:rsidRPr="00E62EA4" w:rsidRDefault="00627ECA" w:rsidP="008D72C3">
      <w:pPr>
        <w:tabs>
          <w:tab w:val="right" w:pos="8931"/>
        </w:tabs>
        <w:spacing w:line="240" w:lineRule="auto"/>
        <w:ind w:left="426"/>
        <w:jc w:val="both"/>
        <w:rPr>
          <w:b/>
          <w:bCs/>
          <w:lang w:val="nl-NL"/>
        </w:rPr>
      </w:pPr>
      <w:r w:rsidRPr="00E62EA4">
        <w:rPr>
          <w:b/>
          <w:bCs/>
          <w:lang w:val="nl-NL"/>
        </w:rPr>
        <w:t>Afdeling 2: Seksuele uitbuiting van minderjarigen.</w:t>
      </w:r>
      <w:r w:rsidR="008537FF" w:rsidRPr="008537FF">
        <w:rPr>
          <w:b/>
          <w:bCs/>
          <w:lang w:val="nl-NL"/>
        </w:rPr>
        <w:t xml:space="preserve"> </w:t>
      </w:r>
      <w:r w:rsidR="008537FF">
        <w:rPr>
          <w:b/>
          <w:bCs/>
          <w:lang w:val="nl-NL"/>
        </w:rPr>
        <w:t>………………………………………………………</w:t>
      </w:r>
      <w:r w:rsidR="008537FF">
        <w:rPr>
          <w:b/>
          <w:bCs/>
          <w:lang w:val="nl-NL"/>
        </w:rPr>
        <w:t>……….</w:t>
      </w:r>
      <w:r w:rsidRPr="00E62EA4">
        <w:rPr>
          <w:b/>
          <w:bCs/>
          <w:lang w:val="nl-NL"/>
        </w:rPr>
        <w:t>37</w:t>
      </w:r>
    </w:p>
    <w:p w14:paraId="255624E2" w14:textId="27E6382A" w:rsidR="00627ECA" w:rsidRPr="00627ECA" w:rsidRDefault="00627ECA" w:rsidP="008D72C3">
      <w:pPr>
        <w:tabs>
          <w:tab w:val="right" w:pos="8931"/>
        </w:tabs>
        <w:spacing w:line="240" w:lineRule="auto"/>
        <w:ind w:left="709"/>
        <w:jc w:val="both"/>
        <w:rPr>
          <w:lang w:val="nl-NL"/>
        </w:rPr>
      </w:pPr>
      <w:r w:rsidRPr="00627ECA">
        <w:rPr>
          <w:lang w:val="nl-NL"/>
        </w:rPr>
        <w:t>Onderafdeling 1: Benaderen van een minderjarige voor seksuele doeleinden</w:t>
      </w:r>
      <w:r w:rsidR="008537FF">
        <w:rPr>
          <w:lang w:val="nl-NL"/>
        </w:rPr>
        <w:t>………………….</w:t>
      </w:r>
      <w:r w:rsidRPr="00627ECA">
        <w:rPr>
          <w:lang w:val="nl-NL"/>
        </w:rPr>
        <w:tab/>
      </w:r>
      <w:r w:rsidR="008537FF">
        <w:rPr>
          <w:lang w:val="nl-NL"/>
        </w:rPr>
        <w:t>…</w:t>
      </w:r>
      <w:r w:rsidRPr="00627ECA">
        <w:rPr>
          <w:lang w:val="nl-NL"/>
        </w:rPr>
        <w:t>38</w:t>
      </w:r>
    </w:p>
    <w:p w14:paraId="74D1AFE1" w14:textId="28447B79" w:rsidR="00627ECA" w:rsidRPr="00627ECA" w:rsidRDefault="00627ECA" w:rsidP="008D72C3">
      <w:pPr>
        <w:tabs>
          <w:tab w:val="right" w:pos="8931"/>
        </w:tabs>
        <w:spacing w:line="240" w:lineRule="auto"/>
        <w:ind w:left="709"/>
        <w:jc w:val="both"/>
        <w:rPr>
          <w:lang w:val="nl-NL"/>
        </w:rPr>
      </w:pPr>
      <w:r w:rsidRPr="00627ECA">
        <w:rPr>
          <w:lang w:val="nl-NL"/>
        </w:rPr>
        <w:t>Art. 417/24 - Benaderen van een minderjarige voor seksuele doeleinden.</w:t>
      </w:r>
      <w:r w:rsidR="008537FF" w:rsidRPr="008537FF">
        <w:rPr>
          <w:lang w:val="nl-NL"/>
        </w:rPr>
        <w:t>………………………</w:t>
      </w:r>
      <w:r w:rsidR="008537FF">
        <w:rPr>
          <w:lang w:val="nl-NL"/>
        </w:rPr>
        <w:t>…..</w:t>
      </w:r>
      <w:r w:rsidRPr="00627ECA">
        <w:rPr>
          <w:lang w:val="nl-NL"/>
        </w:rPr>
        <w:t>38</w:t>
      </w:r>
    </w:p>
    <w:p w14:paraId="2B552EA8" w14:textId="4650E3EB" w:rsidR="00627ECA" w:rsidRPr="00627ECA" w:rsidRDefault="00627ECA" w:rsidP="008D72C3">
      <w:pPr>
        <w:tabs>
          <w:tab w:val="right" w:pos="8931"/>
        </w:tabs>
        <w:spacing w:line="240" w:lineRule="auto"/>
        <w:ind w:left="709"/>
        <w:jc w:val="both"/>
        <w:rPr>
          <w:lang w:val="nl-NL"/>
        </w:rPr>
      </w:pPr>
      <w:r w:rsidRPr="00627ECA">
        <w:rPr>
          <w:lang w:val="nl-NL"/>
        </w:rPr>
        <w:t>Onderafdeling 2: Seksuele uitbuiting van minderjarigen met het oog op prostitutie</w:t>
      </w:r>
      <w:r w:rsidR="008537FF">
        <w:rPr>
          <w:lang w:val="nl-NL"/>
        </w:rPr>
        <w:t>……………</w:t>
      </w:r>
      <w:r w:rsidRPr="00627ECA">
        <w:rPr>
          <w:lang w:val="nl-NL"/>
        </w:rPr>
        <w:t>40</w:t>
      </w:r>
    </w:p>
    <w:p w14:paraId="7DEBB214" w14:textId="2CE110A3" w:rsidR="00627ECA" w:rsidRPr="00627ECA" w:rsidRDefault="00627ECA" w:rsidP="008D72C3">
      <w:pPr>
        <w:tabs>
          <w:tab w:val="right" w:pos="8931"/>
        </w:tabs>
        <w:spacing w:line="240" w:lineRule="auto"/>
        <w:ind w:left="709"/>
        <w:jc w:val="both"/>
        <w:rPr>
          <w:lang w:val="nl-NL"/>
        </w:rPr>
      </w:pPr>
      <w:r w:rsidRPr="00627ECA">
        <w:rPr>
          <w:lang w:val="nl-NL"/>
        </w:rPr>
        <w:t>Art. 417/25 en 417/26  -Bewegen van een minderjarige tot het plegen van ontucht of prostitutie.</w:t>
      </w:r>
      <w:r w:rsidR="008537FF" w:rsidRPr="008537FF">
        <w:rPr>
          <w:b/>
          <w:bCs/>
          <w:lang w:val="nl-NL"/>
        </w:rPr>
        <w:t xml:space="preserve"> </w:t>
      </w:r>
      <w:r w:rsidR="008537FF" w:rsidRPr="008537FF">
        <w:rPr>
          <w:lang w:val="nl-NL"/>
        </w:rPr>
        <w:t>………………………………………………………………………………………………………………</w:t>
      </w:r>
      <w:r w:rsidR="008537FF" w:rsidRPr="008537FF">
        <w:rPr>
          <w:lang w:val="nl-NL"/>
        </w:rPr>
        <w:t>…</w:t>
      </w:r>
      <w:r w:rsidR="008537FF">
        <w:rPr>
          <w:lang w:val="nl-NL"/>
        </w:rPr>
        <w:t>……….</w:t>
      </w:r>
      <w:r w:rsidRPr="00627ECA">
        <w:rPr>
          <w:lang w:val="nl-NL"/>
        </w:rPr>
        <w:t>42</w:t>
      </w:r>
    </w:p>
    <w:p w14:paraId="561B9B4E" w14:textId="0BF8DAEB" w:rsidR="00627ECA" w:rsidRPr="00627ECA" w:rsidRDefault="00627ECA" w:rsidP="008D72C3">
      <w:pPr>
        <w:spacing w:line="240" w:lineRule="auto"/>
        <w:ind w:left="709"/>
        <w:jc w:val="both"/>
        <w:rPr>
          <w:lang w:val="nl-NL"/>
        </w:rPr>
      </w:pPr>
      <w:r w:rsidRPr="00627ECA">
        <w:rPr>
          <w:lang w:val="nl-NL"/>
        </w:rPr>
        <w:t>Art. 417/27 en 417/28 -Werven van een minderjarige voor ontucht of prostitutie</w:t>
      </w:r>
      <w:r w:rsidRPr="00627ECA">
        <w:rPr>
          <w:lang w:val="nl-NL"/>
        </w:rPr>
        <w:tab/>
      </w:r>
      <w:r w:rsidR="008537FF">
        <w:rPr>
          <w:lang w:val="nl-NL"/>
        </w:rPr>
        <w:t>……………..</w:t>
      </w:r>
      <w:r w:rsidRPr="00627ECA">
        <w:rPr>
          <w:lang w:val="nl-NL"/>
        </w:rPr>
        <w:t>43</w:t>
      </w:r>
    </w:p>
    <w:p w14:paraId="7C21EADB" w14:textId="22BAA2C5" w:rsidR="00627ECA" w:rsidRPr="00627ECA" w:rsidRDefault="00627ECA" w:rsidP="008D72C3">
      <w:pPr>
        <w:tabs>
          <w:tab w:val="right" w:pos="9026"/>
        </w:tabs>
        <w:spacing w:line="240" w:lineRule="auto"/>
        <w:ind w:left="709"/>
        <w:jc w:val="both"/>
        <w:rPr>
          <w:lang w:val="nl-NL"/>
        </w:rPr>
      </w:pPr>
      <w:r w:rsidRPr="00627ECA">
        <w:rPr>
          <w:lang w:val="nl-NL"/>
        </w:rPr>
        <w:t>Art. 417/29 en 417/30 -Houden van een huis van ontucht of prostitutie waar een minderjarige ontucht of prostitutie pleegt</w:t>
      </w:r>
      <w:r w:rsidR="008537FF">
        <w:rPr>
          <w:lang w:val="nl-NL"/>
        </w:rPr>
        <w:t>……</w:t>
      </w:r>
      <w:r w:rsidR="008537FF" w:rsidRPr="008537FF">
        <w:rPr>
          <w:lang w:val="nl-NL"/>
        </w:rPr>
        <w:t>………………………………………………………………</w:t>
      </w:r>
      <w:r w:rsidR="008537FF">
        <w:rPr>
          <w:lang w:val="nl-NL"/>
        </w:rPr>
        <w:t>…………………………..</w:t>
      </w:r>
      <w:r w:rsidRPr="00627ECA">
        <w:rPr>
          <w:lang w:val="nl-NL"/>
        </w:rPr>
        <w:t>43</w:t>
      </w:r>
    </w:p>
    <w:p w14:paraId="3C3BC680" w14:textId="54CF8581" w:rsidR="00627ECA" w:rsidRPr="00627ECA" w:rsidRDefault="00627ECA" w:rsidP="008D72C3">
      <w:pPr>
        <w:tabs>
          <w:tab w:val="right" w:pos="8931"/>
        </w:tabs>
        <w:spacing w:line="240" w:lineRule="auto"/>
        <w:ind w:left="709"/>
        <w:jc w:val="both"/>
        <w:rPr>
          <w:lang w:val="nl-NL"/>
        </w:rPr>
      </w:pPr>
      <w:r w:rsidRPr="00627ECA">
        <w:rPr>
          <w:lang w:val="nl-NL"/>
        </w:rPr>
        <w:t>Art. 417/31 en 417/32 - Ter beschikking stellen van een ruimte aan een minderjarige met het oog op ontucht of prostitutie</w:t>
      </w:r>
      <w:r w:rsidR="008537FF" w:rsidRPr="008537FF">
        <w:rPr>
          <w:lang w:val="nl-NL"/>
        </w:rPr>
        <w:t xml:space="preserve"> ………………………………………………………………</w:t>
      </w:r>
      <w:r w:rsidR="008537FF">
        <w:rPr>
          <w:lang w:val="nl-NL"/>
        </w:rPr>
        <w:t>………………………………</w:t>
      </w:r>
      <w:r w:rsidRPr="00627ECA">
        <w:rPr>
          <w:lang w:val="nl-NL"/>
        </w:rPr>
        <w:t>4</w:t>
      </w:r>
      <w:r w:rsidR="00BB3EE5">
        <w:rPr>
          <w:lang w:val="nl-NL"/>
        </w:rPr>
        <w:t>4</w:t>
      </w:r>
    </w:p>
    <w:p w14:paraId="5C3AE88D" w14:textId="06FCCABE" w:rsidR="00627ECA" w:rsidRPr="00627ECA" w:rsidRDefault="00627ECA" w:rsidP="008D72C3">
      <w:pPr>
        <w:tabs>
          <w:tab w:val="right" w:pos="8931"/>
        </w:tabs>
        <w:spacing w:line="240" w:lineRule="auto"/>
        <w:ind w:left="709"/>
        <w:jc w:val="both"/>
        <w:rPr>
          <w:lang w:val="nl-NL"/>
        </w:rPr>
      </w:pPr>
      <w:r w:rsidRPr="00627ECA">
        <w:rPr>
          <w:lang w:val="nl-NL"/>
        </w:rPr>
        <w:lastRenderedPageBreak/>
        <w:t>Art. 417/33 en 417/34 - Exploitatie van de ontucht of prostitutie van een minderjarige</w:t>
      </w:r>
      <w:r w:rsidR="008537FF">
        <w:rPr>
          <w:lang w:val="nl-NL"/>
        </w:rPr>
        <w:t>………..</w:t>
      </w:r>
      <w:r w:rsidRPr="00627ECA">
        <w:rPr>
          <w:lang w:val="nl-NL"/>
        </w:rPr>
        <w:t>44</w:t>
      </w:r>
    </w:p>
    <w:p w14:paraId="5AF85112" w14:textId="2A907186" w:rsidR="00627ECA" w:rsidRPr="00627ECA" w:rsidRDefault="00627ECA" w:rsidP="008D72C3">
      <w:pPr>
        <w:tabs>
          <w:tab w:val="right" w:pos="8931"/>
        </w:tabs>
        <w:spacing w:line="240" w:lineRule="auto"/>
        <w:ind w:left="709"/>
        <w:jc w:val="both"/>
        <w:rPr>
          <w:lang w:val="nl-NL"/>
        </w:rPr>
      </w:pPr>
      <w:r w:rsidRPr="00627ECA">
        <w:rPr>
          <w:lang w:val="nl-NL"/>
        </w:rPr>
        <w:t>Art. 417/35 en 417/36 - Verkrijgen van de ontucht of de prostitutie van een minderjarige</w:t>
      </w:r>
      <w:r w:rsidR="0099387D">
        <w:rPr>
          <w:lang w:val="nl-NL"/>
        </w:rPr>
        <w:t>……</w:t>
      </w:r>
      <w:r w:rsidRPr="00627ECA">
        <w:rPr>
          <w:lang w:val="nl-NL"/>
        </w:rPr>
        <w:t>44</w:t>
      </w:r>
    </w:p>
    <w:p w14:paraId="034B164E" w14:textId="307CB629" w:rsidR="00627ECA" w:rsidRPr="00627ECA" w:rsidRDefault="00627ECA" w:rsidP="008D72C3">
      <w:pPr>
        <w:tabs>
          <w:tab w:val="right" w:pos="8931"/>
        </w:tabs>
        <w:spacing w:line="240" w:lineRule="auto"/>
        <w:ind w:left="709"/>
        <w:jc w:val="both"/>
        <w:rPr>
          <w:lang w:val="nl-NL"/>
        </w:rPr>
      </w:pPr>
      <w:r w:rsidRPr="00627ECA">
        <w:rPr>
          <w:lang w:val="nl-NL"/>
        </w:rPr>
        <w:t>Art. 417/37 - Organisatie van ontucht of prostitutie van een minderjarige in vereniging.</w:t>
      </w:r>
      <w:r w:rsidR="0099387D" w:rsidRPr="008537FF">
        <w:rPr>
          <w:lang w:val="nl-NL"/>
        </w:rPr>
        <w:t>…</w:t>
      </w:r>
      <w:r w:rsidR="0099387D">
        <w:rPr>
          <w:lang w:val="nl-NL"/>
        </w:rPr>
        <w:t>…..</w:t>
      </w:r>
      <w:r w:rsidRPr="00627ECA">
        <w:rPr>
          <w:lang w:val="nl-NL"/>
        </w:rPr>
        <w:t>44</w:t>
      </w:r>
    </w:p>
    <w:p w14:paraId="72A35DFD" w14:textId="377AD3D9" w:rsidR="00627ECA" w:rsidRPr="00627ECA" w:rsidRDefault="00627ECA" w:rsidP="008D72C3">
      <w:pPr>
        <w:tabs>
          <w:tab w:val="right" w:pos="8931"/>
        </w:tabs>
        <w:spacing w:line="240" w:lineRule="auto"/>
        <w:ind w:left="709"/>
        <w:jc w:val="both"/>
        <w:rPr>
          <w:lang w:val="nl-NL"/>
        </w:rPr>
      </w:pPr>
      <w:r w:rsidRPr="00627ECA">
        <w:rPr>
          <w:lang w:val="nl-NL"/>
        </w:rPr>
        <w:t>Art. 417/38 -</w:t>
      </w:r>
      <w:r w:rsidR="0099387D">
        <w:rPr>
          <w:lang w:val="nl-NL"/>
        </w:rPr>
        <w:t xml:space="preserve"> </w:t>
      </w:r>
      <w:r w:rsidRPr="00627ECA">
        <w:rPr>
          <w:lang w:val="nl-NL"/>
        </w:rPr>
        <w:t>Bijwonen van ontucht of prostitutie van een minderjarige.</w:t>
      </w:r>
      <w:r w:rsidR="0099387D">
        <w:rPr>
          <w:lang w:val="nl-NL"/>
        </w:rPr>
        <w:t>.</w:t>
      </w:r>
      <w:r w:rsidR="0099387D" w:rsidRPr="008537FF">
        <w:rPr>
          <w:lang w:val="nl-NL"/>
        </w:rPr>
        <w:t>………</w:t>
      </w:r>
      <w:r w:rsidR="0099387D">
        <w:rPr>
          <w:lang w:val="nl-NL"/>
        </w:rPr>
        <w:t>……………………</w:t>
      </w:r>
      <w:r w:rsidR="0099387D" w:rsidRPr="00627ECA">
        <w:rPr>
          <w:lang w:val="nl-NL"/>
        </w:rPr>
        <w:t xml:space="preserve"> </w:t>
      </w:r>
      <w:r w:rsidRPr="00627ECA">
        <w:rPr>
          <w:lang w:val="nl-NL"/>
        </w:rPr>
        <w:t>45</w:t>
      </w:r>
    </w:p>
    <w:p w14:paraId="0059A0D6" w14:textId="359FE491" w:rsidR="00627ECA" w:rsidRPr="00627ECA" w:rsidRDefault="00627ECA" w:rsidP="008D72C3">
      <w:pPr>
        <w:tabs>
          <w:tab w:val="right" w:pos="8931"/>
        </w:tabs>
        <w:spacing w:line="240" w:lineRule="auto"/>
        <w:ind w:left="709"/>
        <w:jc w:val="both"/>
        <w:rPr>
          <w:lang w:val="nl-NL"/>
        </w:rPr>
      </w:pPr>
      <w:r w:rsidRPr="00627ECA">
        <w:rPr>
          <w:lang w:val="nl-NL"/>
        </w:rPr>
        <w:t>Art. 417/39 en  417/40 - Reclame maken voor ontucht en prostitutie van een minderjarige</w:t>
      </w:r>
      <w:r w:rsidR="00BE799B">
        <w:rPr>
          <w:lang w:val="nl-NL"/>
        </w:rPr>
        <w:t>….</w:t>
      </w:r>
      <w:r w:rsidRPr="00627ECA">
        <w:rPr>
          <w:lang w:val="nl-NL"/>
        </w:rPr>
        <w:t>45</w:t>
      </w:r>
    </w:p>
    <w:p w14:paraId="097BE7C5" w14:textId="5E79D899" w:rsidR="00627ECA" w:rsidRPr="00627ECA" w:rsidRDefault="00627ECA" w:rsidP="008D72C3">
      <w:pPr>
        <w:tabs>
          <w:tab w:val="decimal" w:leader="dot" w:pos="9026"/>
        </w:tabs>
        <w:spacing w:line="240" w:lineRule="auto"/>
        <w:ind w:left="709"/>
        <w:jc w:val="both"/>
        <w:rPr>
          <w:lang w:val="nl-NL"/>
        </w:rPr>
      </w:pPr>
      <w:r w:rsidRPr="00627ECA">
        <w:rPr>
          <w:lang w:val="nl-NL"/>
        </w:rPr>
        <w:t>Art. 417/41 - Aanzetten tot het plegen van ontucht of tot exploitatie van de prostitutie van een minderjarige in het openbaar of door enig reclamemiddel</w:t>
      </w:r>
      <w:r w:rsidR="00A170AA">
        <w:rPr>
          <w:lang w:val="nl-NL"/>
        </w:rPr>
        <w:t>………</w:t>
      </w:r>
      <w:r w:rsidRPr="00627ECA">
        <w:rPr>
          <w:lang w:val="nl-NL"/>
        </w:rPr>
        <w:tab/>
        <w:t>4</w:t>
      </w:r>
      <w:r w:rsidR="007C6837">
        <w:rPr>
          <w:lang w:val="nl-NL"/>
        </w:rPr>
        <w:t>6</w:t>
      </w:r>
    </w:p>
    <w:p w14:paraId="7177229E" w14:textId="24F4F331" w:rsidR="00627ECA" w:rsidRPr="00627ECA" w:rsidRDefault="00627ECA" w:rsidP="008D72C3">
      <w:pPr>
        <w:tabs>
          <w:tab w:val="right" w:leader="dot" w:pos="9026"/>
        </w:tabs>
        <w:spacing w:line="240" w:lineRule="auto"/>
        <w:ind w:left="709"/>
        <w:jc w:val="both"/>
        <w:rPr>
          <w:lang w:val="nl-NL"/>
        </w:rPr>
      </w:pPr>
      <w:r w:rsidRPr="00627ECA">
        <w:rPr>
          <w:lang w:val="nl-NL"/>
        </w:rPr>
        <w:t>Art. 417/42 - Verbeurdverklaring van het instrument van het misdrijf</w:t>
      </w:r>
      <w:r w:rsidR="00A170AA">
        <w:rPr>
          <w:lang w:val="nl-NL"/>
        </w:rPr>
        <w:tab/>
        <w:t>……..</w:t>
      </w:r>
      <w:r w:rsidRPr="00627ECA">
        <w:rPr>
          <w:lang w:val="nl-NL"/>
        </w:rPr>
        <w:t>46</w:t>
      </w:r>
    </w:p>
    <w:p w14:paraId="0277FC82" w14:textId="77777777" w:rsidR="00627ECA" w:rsidRPr="00627ECA" w:rsidRDefault="00627ECA" w:rsidP="008D72C3">
      <w:pPr>
        <w:tabs>
          <w:tab w:val="right" w:leader="dot" w:pos="9026"/>
        </w:tabs>
        <w:spacing w:line="240" w:lineRule="auto"/>
        <w:ind w:left="709"/>
        <w:jc w:val="both"/>
        <w:rPr>
          <w:lang w:val="nl-NL"/>
        </w:rPr>
      </w:pPr>
      <w:r w:rsidRPr="00627ECA">
        <w:rPr>
          <w:lang w:val="nl-NL"/>
        </w:rPr>
        <w:t>Onderafdeling 3: Beelden van seksueel misbruik van minderjarigen</w:t>
      </w:r>
      <w:r w:rsidRPr="00627ECA">
        <w:rPr>
          <w:lang w:val="nl-NL"/>
        </w:rPr>
        <w:tab/>
        <w:t>48</w:t>
      </w:r>
    </w:p>
    <w:p w14:paraId="501EA7D2"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417/43 - Definitie.</w:t>
      </w:r>
      <w:r w:rsidRPr="00627ECA">
        <w:rPr>
          <w:lang w:val="nl-NL"/>
        </w:rPr>
        <w:tab/>
        <w:t>48</w:t>
      </w:r>
    </w:p>
    <w:p w14:paraId="4318FDA8"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417/44 - Vervaardigen of verspreiden</w:t>
      </w:r>
      <w:r w:rsidRPr="00627ECA">
        <w:rPr>
          <w:lang w:val="nl-NL"/>
        </w:rPr>
        <w:tab/>
        <w:t>48</w:t>
      </w:r>
    </w:p>
    <w:p w14:paraId="30C7E2C2"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417/45 - Vervaardigen of verspreiden in vereniging.</w:t>
      </w:r>
      <w:r w:rsidRPr="00627ECA">
        <w:rPr>
          <w:lang w:val="nl-NL"/>
        </w:rPr>
        <w:tab/>
        <w:t>48</w:t>
      </w:r>
    </w:p>
    <w:p w14:paraId="7F530650" w14:textId="12FC4A90" w:rsidR="00627ECA" w:rsidRPr="00627ECA" w:rsidRDefault="00627ECA" w:rsidP="008D72C3">
      <w:pPr>
        <w:tabs>
          <w:tab w:val="right" w:leader="dot" w:pos="9026"/>
        </w:tabs>
        <w:spacing w:line="240" w:lineRule="auto"/>
        <w:ind w:left="709"/>
        <w:jc w:val="both"/>
        <w:rPr>
          <w:lang w:val="nl-NL"/>
        </w:rPr>
      </w:pPr>
      <w:r w:rsidRPr="00627ECA">
        <w:rPr>
          <w:lang w:val="nl-NL"/>
        </w:rPr>
        <w:t>Art. 417/46 - Bezitten en verwerven.</w:t>
      </w:r>
      <w:r w:rsidRPr="00627ECA">
        <w:rPr>
          <w:lang w:val="nl-NL"/>
        </w:rPr>
        <w:tab/>
        <w:t>4</w:t>
      </w:r>
      <w:r w:rsidR="007C6837">
        <w:rPr>
          <w:lang w:val="nl-NL"/>
        </w:rPr>
        <w:t>9</w:t>
      </w:r>
    </w:p>
    <w:p w14:paraId="2F262319"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417/47 - Zich toegang verschaffen.</w:t>
      </w:r>
      <w:r w:rsidRPr="00627ECA">
        <w:rPr>
          <w:lang w:val="nl-NL"/>
        </w:rPr>
        <w:tab/>
        <w:t>49</w:t>
      </w:r>
    </w:p>
    <w:p w14:paraId="651D4F9F"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417/48-  Rechtvaardigingsgrond voor erkende organisaties.</w:t>
      </w:r>
      <w:r w:rsidRPr="00627ECA">
        <w:rPr>
          <w:lang w:val="nl-NL"/>
        </w:rPr>
        <w:tab/>
        <w:t>49</w:t>
      </w:r>
    </w:p>
    <w:p w14:paraId="308462ED"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417/49 - Rechtvaardigingsgrond inzake het consensueel maken, bezitten en onderling delen van seksueel getinte inhoud tussen minderjarigen ouder dan 16 jaar</w:t>
      </w:r>
      <w:r w:rsidRPr="00627ECA">
        <w:rPr>
          <w:lang w:val="nl-NL"/>
        </w:rPr>
        <w:tab/>
        <w:t>49</w:t>
      </w:r>
    </w:p>
    <w:p w14:paraId="61D3E19B" w14:textId="77777777" w:rsidR="00627ECA" w:rsidRPr="00627ECA" w:rsidRDefault="00627ECA" w:rsidP="008D72C3">
      <w:pPr>
        <w:tabs>
          <w:tab w:val="right" w:leader="dot" w:pos="9026"/>
        </w:tabs>
        <w:spacing w:line="240" w:lineRule="auto"/>
        <w:ind w:left="709"/>
        <w:jc w:val="both"/>
        <w:rPr>
          <w:lang w:val="nl-NL"/>
        </w:rPr>
      </w:pPr>
      <w:r w:rsidRPr="00627ECA">
        <w:rPr>
          <w:lang w:val="nl-NL"/>
        </w:rPr>
        <w:t>Onderafdeling 4: Algemene bepaling.</w:t>
      </w:r>
      <w:r w:rsidRPr="00627ECA">
        <w:rPr>
          <w:lang w:val="nl-NL"/>
        </w:rPr>
        <w:tab/>
        <w:t>50</w:t>
      </w:r>
    </w:p>
    <w:p w14:paraId="1882EA67"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417/50 - Verzwarende factoren.</w:t>
      </w:r>
      <w:r w:rsidRPr="00627ECA">
        <w:rPr>
          <w:lang w:val="nl-NL"/>
        </w:rPr>
        <w:tab/>
        <w:t>50</w:t>
      </w:r>
    </w:p>
    <w:p w14:paraId="716724E4" w14:textId="77777777" w:rsidR="00627ECA" w:rsidRPr="00E62EA4" w:rsidRDefault="00627ECA" w:rsidP="008D72C3">
      <w:pPr>
        <w:tabs>
          <w:tab w:val="right" w:leader="dot" w:pos="9026"/>
        </w:tabs>
        <w:spacing w:line="240" w:lineRule="auto"/>
        <w:ind w:left="426"/>
        <w:jc w:val="both"/>
        <w:rPr>
          <w:b/>
          <w:bCs/>
          <w:lang w:val="nl-NL"/>
        </w:rPr>
      </w:pPr>
      <w:r w:rsidRPr="00E62EA4">
        <w:rPr>
          <w:b/>
          <w:bCs/>
          <w:lang w:val="nl-NL"/>
        </w:rPr>
        <w:t>Afdeling 3: Openbare schennis van de goede zeden.</w:t>
      </w:r>
      <w:r w:rsidRPr="00E62EA4">
        <w:rPr>
          <w:b/>
          <w:bCs/>
          <w:lang w:val="nl-NL"/>
        </w:rPr>
        <w:tab/>
        <w:t>51</w:t>
      </w:r>
    </w:p>
    <w:p w14:paraId="1CFF36DE"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417/51 - Vervaardigen of verspreiden van inhoud van extreem pornografische of gewelddadige aard.</w:t>
      </w:r>
      <w:r w:rsidRPr="00627ECA">
        <w:rPr>
          <w:lang w:val="nl-NL"/>
        </w:rPr>
        <w:tab/>
        <w:t>51</w:t>
      </w:r>
    </w:p>
    <w:p w14:paraId="05E895D4"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417/52 - Vervaardigen of verspreiden van inhoud van extreem pornografische of gewelddadige aard gepleegd tegenover een minderjarige of een persoon die in een kwetsbare toestand verkeert</w:t>
      </w:r>
      <w:r w:rsidRPr="00627ECA">
        <w:rPr>
          <w:lang w:val="nl-NL"/>
        </w:rPr>
        <w:tab/>
        <w:t>52</w:t>
      </w:r>
    </w:p>
    <w:p w14:paraId="46C89BD0"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417/53 - Exhibitionisme</w:t>
      </w:r>
      <w:r w:rsidRPr="00627ECA">
        <w:rPr>
          <w:lang w:val="nl-NL"/>
        </w:rPr>
        <w:tab/>
        <w:t>52</w:t>
      </w:r>
    </w:p>
    <w:p w14:paraId="190E6470" w14:textId="6D7F4073" w:rsidR="00627ECA" w:rsidRPr="00627ECA" w:rsidRDefault="00627ECA" w:rsidP="008D72C3">
      <w:pPr>
        <w:tabs>
          <w:tab w:val="right" w:leader="dot" w:pos="9026"/>
        </w:tabs>
        <w:spacing w:line="240" w:lineRule="auto"/>
        <w:ind w:left="709"/>
        <w:jc w:val="both"/>
        <w:rPr>
          <w:lang w:val="nl-NL"/>
        </w:rPr>
      </w:pPr>
      <w:r w:rsidRPr="00627ECA">
        <w:rPr>
          <w:lang w:val="nl-NL"/>
        </w:rPr>
        <w:t>Art. 417/54 - Exhibitionisme in aanwezigheid van een minderjarige of een persoon die in een kwetsbare toestand verkeert.</w:t>
      </w:r>
      <w:r w:rsidRPr="00627ECA">
        <w:rPr>
          <w:lang w:val="nl-NL"/>
        </w:rPr>
        <w:tab/>
        <w:t>5</w:t>
      </w:r>
      <w:r w:rsidR="007C6837">
        <w:rPr>
          <w:lang w:val="nl-NL"/>
        </w:rPr>
        <w:t>3</w:t>
      </w:r>
    </w:p>
    <w:p w14:paraId="582FE96A"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417/55 - Verzwarende factoren.</w:t>
      </w:r>
      <w:r w:rsidRPr="00627ECA">
        <w:rPr>
          <w:lang w:val="nl-NL"/>
        </w:rPr>
        <w:tab/>
        <w:t>53</w:t>
      </w:r>
    </w:p>
    <w:p w14:paraId="411A6159" w14:textId="1B0835BB" w:rsidR="00627ECA" w:rsidRPr="00E62EA4" w:rsidRDefault="00627ECA" w:rsidP="008D72C3">
      <w:pPr>
        <w:tabs>
          <w:tab w:val="right" w:leader="dot" w:pos="9026"/>
        </w:tabs>
        <w:spacing w:line="240" w:lineRule="auto"/>
        <w:ind w:left="426"/>
        <w:jc w:val="both"/>
        <w:rPr>
          <w:b/>
          <w:bCs/>
          <w:lang w:val="nl-NL"/>
        </w:rPr>
      </w:pPr>
      <w:r w:rsidRPr="00E62EA4">
        <w:rPr>
          <w:b/>
          <w:bCs/>
          <w:lang w:val="nl-NL"/>
        </w:rPr>
        <w:t>Afdeling 4: Gemeenschappelijke bepalingen.</w:t>
      </w:r>
      <w:r w:rsidRPr="00E62EA4">
        <w:rPr>
          <w:b/>
          <w:bCs/>
          <w:lang w:val="nl-NL"/>
        </w:rPr>
        <w:tab/>
        <w:t>5</w:t>
      </w:r>
      <w:r w:rsidR="007C6837">
        <w:rPr>
          <w:b/>
          <w:bCs/>
          <w:lang w:val="nl-NL"/>
        </w:rPr>
        <w:t>4</w:t>
      </w:r>
    </w:p>
    <w:p w14:paraId="2C156501"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417/56 - Weigering tot het verlenen van medewerking.</w:t>
      </w:r>
      <w:r w:rsidRPr="00627ECA">
        <w:rPr>
          <w:lang w:val="nl-NL"/>
        </w:rPr>
        <w:tab/>
        <w:t>54</w:t>
      </w:r>
    </w:p>
    <w:p w14:paraId="4BD0B0C1"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417/57 - Sluiting van een inrichting</w:t>
      </w:r>
      <w:r w:rsidRPr="00627ECA">
        <w:rPr>
          <w:lang w:val="nl-NL"/>
        </w:rPr>
        <w:tab/>
        <w:t>54</w:t>
      </w:r>
    </w:p>
    <w:p w14:paraId="2019AA57" w14:textId="08541FE6" w:rsidR="00627ECA" w:rsidRPr="00627ECA" w:rsidRDefault="00627ECA" w:rsidP="007C6837">
      <w:pPr>
        <w:tabs>
          <w:tab w:val="left" w:leader="dot" w:pos="9026"/>
        </w:tabs>
        <w:spacing w:line="240" w:lineRule="auto"/>
        <w:ind w:left="709"/>
        <w:jc w:val="both"/>
        <w:rPr>
          <w:lang w:val="nl-NL"/>
        </w:rPr>
      </w:pPr>
      <w:r w:rsidRPr="00627ECA">
        <w:rPr>
          <w:lang w:val="nl-NL"/>
        </w:rPr>
        <w:t>Art. 417/58 - Verblijfs-, plaats- of contactverbod</w:t>
      </w:r>
      <w:r w:rsidR="007C6837">
        <w:rPr>
          <w:lang w:val="nl-NL"/>
        </w:rPr>
        <w:t>………………………………………………………………….</w:t>
      </w:r>
      <w:r w:rsidRPr="00627ECA">
        <w:rPr>
          <w:lang w:val="nl-NL"/>
        </w:rPr>
        <w:t>5</w:t>
      </w:r>
      <w:r w:rsidR="007C6837">
        <w:rPr>
          <w:lang w:val="nl-NL"/>
        </w:rPr>
        <w:t>7</w:t>
      </w:r>
    </w:p>
    <w:p w14:paraId="13A8975C" w14:textId="31D49265" w:rsidR="00627ECA" w:rsidRPr="00627ECA" w:rsidRDefault="00627ECA" w:rsidP="008D72C3">
      <w:pPr>
        <w:tabs>
          <w:tab w:val="right" w:leader="dot" w:pos="9026"/>
        </w:tabs>
        <w:spacing w:line="240" w:lineRule="auto"/>
        <w:ind w:left="709"/>
        <w:jc w:val="both"/>
        <w:rPr>
          <w:lang w:val="nl-NL"/>
        </w:rPr>
      </w:pPr>
      <w:r w:rsidRPr="00627ECA">
        <w:rPr>
          <w:lang w:val="nl-NL"/>
        </w:rPr>
        <w:lastRenderedPageBreak/>
        <w:t>Art. 417/59 - Specifieke verboden en ontzettingen</w:t>
      </w:r>
      <w:r w:rsidRPr="00627ECA">
        <w:rPr>
          <w:lang w:val="nl-NL"/>
        </w:rPr>
        <w:tab/>
      </w:r>
      <w:r w:rsidR="00B67949">
        <w:rPr>
          <w:lang w:val="nl-NL"/>
        </w:rPr>
        <w:t>……….</w:t>
      </w:r>
      <w:r w:rsidRPr="00627ECA">
        <w:rPr>
          <w:lang w:val="nl-NL"/>
        </w:rPr>
        <w:t>5</w:t>
      </w:r>
      <w:r w:rsidR="00220546">
        <w:rPr>
          <w:lang w:val="nl-NL"/>
        </w:rPr>
        <w:t>8</w:t>
      </w:r>
    </w:p>
    <w:p w14:paraId="45C37066" w14:textId="16C97F16" w:rsidR="00627ECA" w:rsidRPr="00627ECA" w:rsidRDefault="00627ECA" w:rsidP="008D72C3">
      <w:pPr>
        <w:tabs>
          <w:tab w:val="right" w:leader="dot" w:pos="9026"/>
        </w:tabs>
        <w:spacing w:line="240" w:lineRule="auto"/>
        <w:ind w:left="709"/>
        <w:jc w:val="both"/>
        <w:rPr>
          <w:lang w:val="nl-NL"/>
        </w:rPr>
      </w:pPr>
      <w:r w:rsidRPr="00627ECA">
        <w:rPr>
          <w:lang w:val="nl-NL"/>
        </w:rPr>
        <w:t>Art. 417/60 - Niet-naleving van een straf bestaande uit een verbod</w:t>
      </w:r>
      <w:r w:rsidRPr="00627ECA">
        <w:rPr>
          <w:lang w:val="nl-NL"/>
        </w:rPr>
        <w:tab/>
        <w:t>6</w:t>
      </w:r>
      <w:r w:rsidR="00220546">
        <w:rPr>
          <w:lang w:val="nl-NL"/>
        </w:rPr>
        <w:t>1</w:t>
      </w:r>
    </w:p>
    <w:p w14:paraId="75BBD9EF"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417/61 - Samenloop</w:t>
      </w:r>
      <w:r w:rsidRPr="00627ECA">
        <w:rPr>
          <w:lang w:val="nl-NL"/>
        </w:rPr>
        <w:tab/>
        <w:t>61</w:t>
      </w:r>
    </w:p>
    <w:p w14:paraId="42A4A0B5"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417/62 - Overzending van een rechterlijke beslissing</w:t>
      </w:r>
      <w:r w:rsidRPr="00627ECA">
        <w:rPr>
          <w:lang w:val="nl-NL"/>
        </w:rPr>
        <w:tab/>
        <w:t>62</w:t>
      </w:r>
    </w:p>
    <w:p w14:paraId="40B61566"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417/63 -  Bescherming van de identiteit van het slachtoffer</w:t>
      </w:r>
      <w:r w:rsidRPr="00627ECA">
        <w:rPr>
          <w:lang w:val="nl-NL"/>
        </w:rPr>
        <w:tab/>
        <w:t>62</w:t>
      </w:r>
    </w:p>
    <w:p w14:paraId="6F8F120A" w14:textId="373BED37" w:rsidR="00B67949" w:rsidRPr="00627ECA" w:rsidRDefault="00627ECA" w:rsidP="008D72C3">
      <w:pPr>
        <w:tabs>
          <w:tab w:val="right" w:leader="dot" w:pos="9026"/>
        </w:tabs>
        <w:spacing w:line="240" w:lineRule="auto"/>
        <w:ind w:left="709"/>
        <w:jc w:val="both"/>
        <w:rPr>
          <w:lang w:val="nl-NL"/>
        </w:rPr>
      </w:pPr>
      <w:r w:rsidRPr="00627ECA">
        <w:rPr>
          <w:lang w:val="nl-NL"/>
        </w:rPr>
        <w:t>Art. 417/64 - Het advies van een dienst gespecialiseerd in de begeleiding of behandeling van seksuele delinquenten</w:t>
      </w:r>
      <w:r w:rsidRPr="00627ECA">
        <w:rPr>
          <w:lang w:val="nl-NL"/>
        </w:rPr>
        <w:tab/>
        <w:t>6</w:t>
      </w:r>
      <w:r w:rsidR="00220546">
        <w:rPr>
          <w:lang w:val="nl-NL"/>
        </w:rPr>
        <w:t>3</w:t>
      </w:r>
    </w:p>
    <w:p w14:paraId="06B4B358" w14:textId="01DE3E9F" w:rsidR="00627ECA" w:rsidRPr="00E62EA4" w:rsidRDefault="00627ECA" w:rsidP="008D72C3">
      <w:pPr>
        <w:tabs>
          <w:tab w:val="right" w:pos="9026"/>
        </w:tabs>
        <w:spacing w:line="240" w:lineRule="auto"/>
        <w:jc w:val="both"/>
        <w:rPr>
          <w:b/>
          <w:bCs/>
          <w:lang w:val="nl-NL"/>
        </w:rPr>
      </w:pPr>
      <w:r w:rsidRPr="00E62EA4">
        <w:rPr>
          <w:b/>
          <w:bCs/>
          <w:lang w:val="nl-NL"/>
        </w:rPr>
        <w:t>VI.</w:t>
      </w:r>
      <w:r w:rsidRPr="00E62EA4">
        <w:rPr>
          <w:b/>
          <w:bCs/>
          <w:lang w:val="nl-NL"/>
        </w:rPr>
        <w:tab/>
        <w:t xml:space="preserve"> Analyse van het nieuwe hoofdstuk IIIbis/1 van het Strafwetboek :</w:t>
      </w:r>
      <w:r w:rsidR="00B67949">
        <w:rPr>
          <w:b/>
          <w:bCs/>
          <w:lang w:val="nl-NL"/>
        </w:rPr>
        <w:t>…………………………………………</w:t>
      </w:r>
      <w:r w:rsidRPr="00E62EA4">
        <w:rPr>
          <w:b/>
          <w:bCs/>
          <w:lang w:val="nl-NL"/>
        </w:rPr>
        <w:t>6</w:t>
      </w:r>
      <w:r w:rsidR="00220546">
        <w:rPr>
          <w:b/>
          <w:bCs/>
          <w:lang w:val="nl-NL"/>
        </w:rPr>
        <w:t>4</w:t>
      </w:r>
    </w:p>
    <w:p w14:paraId="5D50F036"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433 quater/1 - Pooierschap.</w:t>
      </w:r>
      <w:r w:rsidRPr="00627ECA">
        <w:rPr>
          <w:lang w:val="nl-NL"/>
        </w:rPr>
        <w:tab/>
        <w:t>64</w:t>
      </w:r>
    </w:p>
    <w:p w14:paraId="051C3F22"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433 quater/2 - Reclame maken voor prostitutie.</w:t>
      </w:r>
      <w:r w:rsidRPr="00627ECA">
        <w:rPr>
          <w:lang w:val="nl-NL"/>
        </w:rPr>
        <w:tab/>
        <w:t>67</w:t>
      </w:r>
    </w:p>
    <w:p w14:paraId="27AEA3F7"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433 quater/3 - Het openbaar aanzetten tot het zich prostitueren.</w:t>
      </w:r>
      <w:r w:rsidRPr="00627ECA">
        <w:rPr>
          <w:lang w:val="nl-NL"/>
        </w:rPr>
        <w:tab/>
        <w:t>69</w:t>
      </w:r>
    </w:p>
    <w:p w14:paraId="71D4FF70" w14:textId="77777777" w:rsidR="00627ECA" w:rsidRPr="00627ECA" w:rsidRDefault="00627ECA" w:rsidP="008D72C3">
      <w:pPr>
        <w:tabs>
          <w:tab w:val="right" w:leader="dot" w:pos="9026"/>
        </w:tabs>
        <w:spacing w:line="240" w:lineRule="auto"/>
        <w:ind w:left="709"/>
        <w:jc w:val="both"/>
        <w:rPr>
          <w:lang w:val="nl-NL"/>
        </w:rPr>
      </w:pPr>
      <w:r w:rsidRPr="00627ECA">
        <w:rPr>
          <w:lang w:val="nl-NL"/>
        </w:rPr>
        <w:t>Art. 433 quater/4 - Verzwaard misbruik van prostitutie.</w:t>
      </w:r>
      <w:r w:rsidRPr="00627ECA">
        <w:rPr>
          <w:lang w:val="nl-NL"/>
        </w:rPr>
        <w:tab/>
        <w:t>70</w:t>
      </w:r>
    </w:p>
    <w:p w14:paraId="13585B2F" w14:textId="2FD4F868" w:rsidR="00627ECA" w:rsidRPr="00627ECA" w:rsidRDefault="00627ECA" w:rsidP="008D72C3">
      <w:pPr>
        <w:tabs>
          <w:tab w:val="right" w:leader="dot" w:pos="9026"/>
        </w:tabs>
        <w:spacing w:line="240" w:lineRule="auto"/>
        <w:ind w:left="709"/>
        <w:jc w:val="both"/>
        <w:rPr>
          <w:lang w:val="nl-NL"/>
        </w:rPr>
      </w:pPr>
      <w:r w:rsidRPr="00627ECA">
        <w:rPr>
          <w:lang w:val="nl-NL"/>
        </w:rPr>
        <w:t>Art. 433 quater/5 - Sluiting van een inrichting  .</w:t>
      </w:r>
      <w:r w:rsidRPr="00627ECA">
        <w:rPr>
          <w:lang w:val="nl-NL"/>
        </w:rPr>
        <w:tab/>
        <w:t>7</w:t>
      </w:r>
      <w:r w:rsidR="00220546">
        <w:rPr>
          <w:lang w:val="nl-NL"/>
        </w:rPr>
        <w:t>2</w:t>
      </w:r>
    </w:p>
    <w:p w14:paraId="3FAED857" w14:textId="7B986F15" w:rsidR="00627ECA" w:rsidRPr="00627ECA" w:rsidRDefault="00627ECA" w:rsidP="008D72C3">
      <w:pPr>
        <w:tabs>
          <w:tab w:val="right" w:leader="dot" w:pos="9026"/>
        </w:tabs>
        <w:spacing w:line="240" w:lineRule="auto"/>
        <w:ind w:left="709"/>
        <w:jc w:val="both"/>
        <w:rPr>
          <w:lang w:val="nl-NL"/>
        </w:rPr>
      </w:pPr>
      <w:r w:rsidRPr="00627ECA">
        <w:rPr>
          <w:lang w:val="nl-NL"/>
        </w:rPr>
        <w:t>Art. 433 quater/6 - Specifieke verbodsbepalingen  .</w:t>
      </w:r>
      <w:r w:rsidRPr="00627ECA">
        <w:rPr>
          <w:lang w:val="nl-NL"/>
        </w:rPr>
        <w:tab/>
        <w:t>7</w:t>
      </w:r>
      <w:r w:rsidR="00220546">
        <w:rPr>
          <w:lang w:val="nl-NL"/>
        </w:rPr>
        <w:t>2</w:t>
      </w:r>
    </w:p>
    <w:p w14:paraId="31AE5946" w14:textId="7213C999" w:rsidR="00627ECA" w:rsidRPr="00627ECA" w:rsidRDefault="00627ECA" w:rsidP="008D72C3">
      <w:pPr>
        <w:tabs>
          <w:tab w:val="right" w:leader="dot" w:pos="8931"/>
        </w:tabs>
        <w:spacing w:line="240" w:lineRule="auto"/>
        <w:ind w:left="709"/>
        <w:jc w:val="both"/>
        <w:rPr>
          <w:lang w:val="nl-NL"/>
        </w:rPr>
      </w:pPr>
      <w:r w:rsidRPr="00627ECA">
        <w:rPr>
          <w:lang w:val="nl-NL"/>
        </w:rPr>
        <w:t xml:space="preserve">Art. 433 quater/7 - Niet-naleving van een straf bestaande uit een verbod of een sluiting </w:t>
      </w:r>
      <w:r w:rsidR="00B67949">
        <w:rPr>
          <w:lang w:val="nl-NL"/>
        </w:rPr>
        <w:t>……..</w:t>
      </w:r>
      <w:r w:rsidRPr="00627ECA">
        <w:rPr>
          <w:lang w:val="nl-NL"/>
        </w:rPr>
        <w:t>73</w:t>
      </w:r>
    </w:p>
    <w:p w14:paraId="08A399D7" w14:textId="03150974" w:rsidR="00627ECA" w:rsidRPr="00E62EA4" w:rsidRDefault="00627ECA" w:rsidP="008D72C3">
      <w:pPr>
        <w:tabs>
          <w:tab w:val="right" w:pos="9026"/>
        </w:tabs>
        <w:spacing w:line="240" w:lineRule="auto"/>
        <w:jc w:val="both"/>
        <w:rPr>
          <w:b/>
          <w:bCs/>
          <w:lang w:val="nl-NL"/>
        </w:rPr>
      </w:pPr>
      <w:r w:rsidRPr="00E62EA4">
        <w:rPr>
          <w:b/>
          <w:bCs/>
          <w:lang w:val="nl-NL"/>
        </w:rPr>
        <w:t>VII.</w:t>
      </w:r>
      <w:r w:rsidRPr="00E62EA4">
        <w:rPr>
          <w:b/>
          <w:bCs/>
          <w:lang w:val="nl-NL"/>
        </w:rPr>
        <w:tab/>
        <w:t xml:space="preserve"> Wijziging van de wet van 29 juni 1964 betreffende de opschorting, het uitstel en de probati</w:t>
      </w:r>
      <w:r w:rsidR="00B67949">
        <w:rPr>
          <w:b/>
          <w:bCs/>
          <w:lang w:val="nl-NL"/>
        </w:rPr>
        <w:t>e….</w:t>
      </w:r>
      <w:r w:rsidRPr="00E62EA4">
        <w:rPr>
          <w:b/>
          <w:bCs/>
          <w:lang w:val="nl-NL"/>
        </w:rPr>
        <w:t>77</w:t>
      </w:r>
    </w:p>
    <w:p w14:paraId="0AD9B6A5" w14:textId="2A552035" w:rsidR="00E62EA4" w:rsidRPr="00E62EA4" w:rsidRDefault="00627ECA" w:rsidP="008D72C3">
      <w:pPr>
        <w:tabs>
          <w:tab w:val="right" w:pos="8931"/>
        </w:tabs>
        <w:spacing w:line="240" w:lineRule="auto"/>
        <w:jc w:val="both"/>
        <w:rPr>
          <w:b/>
          <w:bCs/>
          <w:lang w:val="nl-NL"/>
        </w:rPr>
      </w:pPr>
      <w:r w:rsidRPr="00E62EA4">
        <w:rPr>
          <w:b/>
          <w:bCs/>
          <w:lang w:val="nl-NL"/>
        </w:rPr>
        <w:t>VIII.</w:t>
      </w:r>
      <w:r w:rsidR="00B67949">
        <w:rPr>
          <w:b/>
          <w:bCs/>
          <w:lang w:val="nl-NL"/>
        </w:rPr>
        <w:t xml:space="preserve"> </w:t>
      </w:r>
      <w:r w:rsidRPr="00E62EA4">
        <w:rPr>
          <w:b/>
          <w:bCs/>
          <w:lang w:val="nl-NL"/>
        </w:rPr>
        <w:t>Toepassing van de wet in de tijd</w:t>
      </w:r>
      <w:r w:rsidR="00B67949">
        <w:rPr>
          <w:b/>
          <w:bCs/>
          <w:lang w:val="nl-NL"/>
        </w:rPr>
        <w:t>…………………………………………………………………………………………….</w:t>
      </w:r>
      <w:r w:rsidRPr="00E62EA4">
        <w:rPr>
          <w:b/>
          <w:bCs/>
          <w:lang w:val="nl-NL"/>
        </w:rPr>
        <w:t>78</w:t>
      </w:r>
    </w:p>
    <w:p w14:paraId="02D153CF" w14:textId="77777777" w:rsidR="00B67949" w:rsidRDefault="00B67949" w:rsidP="008D72C3">
      <w:pPr>
        <w:tabs>
          <w:tab w:val="left" w:pos="142"/>
          <w:tab w:val="left" w:pos="284"/>
          <w:tab w:val="left" w:pos="567"/>
          <w:tab w:val="right" w:pos="8931"/>
        </w:tabs>
        <w:spacing w:line="240" w:lineRule="auto"/>
        <w:ind w:left="-709" w:firstLine="709"/>
        <w:jc w:val="both"/>
        <w:rPr>
          <w:b/>
          <w:bCs/>
          <w:lang w:val="nl-NL"/>
        </w:rPr>
      </w:pPr>
      <w:r>
        <w:rPr>
          <w:b/>
          <w:bCs/>
          <w:lang w:val="nl-NL"/>
        </w:rPr>
        <w:tab/>
      </w:r>
      <w:r>
        <w:rPr>
          <w:b/>
          <w:bCs/>
          <w:lang w:val="nl-NL"/>
        </w:rPr>
        <w:tab/>
      </w:r>
      <w:r w:rsidR="00627ECA" w:rsidRPr="00E62EA4">
        <w:rPr>
          <w:b/>
          <w:bCs/>
          <w:lang w:val="nl-NL"/>
        </w:rPr>
        <w:t>Inleiding</w:t>
      </w:r>
      <w:r>
        <w:rPr>
          <w:b/>
          <w:bCs/>
          <w:lang w:val="nl-NL"/>
        </w:rPr>
        <w:t>………………………………………………………………………………………………………………………………….</w:t>
      </w:r>
      <w:r w:rsidR="00627ECA" w:rsidRPr="00E62EA4">
        <w:rPr>
          <w:b/>
          <w:bCs/>
          <w:lang w:val="nl-NL"/>
        </w:rPr>
        <w:tab/>
        <w:t>78</w:t>
      </w:r>
    </w:p>
    <w:p w14:paraId="6D7F6F11" w14:textId="37FCD9A7" w:rsidR="00627ECA" w:rsidRPr="00E62EA4" w:rsidRDefault="00B67949" w:rsidP="008D72C3">
      <w:pPr>
        <w:tabs>
          <w:tab w:val="left" w:pos="142"/>
          <w:tab w:val="left" w:pos="284"/>
          <w:tab w:val="left" w:pos="567"/>
          <w:tab w:val="right" w:pos="9026"/>
        </w:tabs>
        <w:spacing w:line="240" w:lineRule="auto"/>
        <w:ind w:left="-709" w:firstLine="709"/>
        <w:jc w:val="both"/>
        <w:rPr>
          <w:b/>
          <w:bCs/>
          <w:lang w:val="nl-NL"/>
        </w:rPr>
      </w:pPr>
      <w:r>
        <w:rPr>
          <w:b/>
          <w:bCs/>
          <w:lang w:val="nl-NL"/>
        </w:rPr>
        <w:tab/>
      </w:r>
      <w:r>
        <w:rPr>
          <w:b/>
          <w:bCs/>
          <w:lang w:val="nl-NL"/>
        </w:rPr>
        <w:tab/>
      </w:r>
      <w:r w:rsidR="00627ECA" w:rsidRPr="00E62EA4">
        <w:rPr>
          <w:b/>
          <w:bCs/>
          <w:lang w:val="nl-NL"/>
        </w:rPr>
        <w:t>Herinnering aan de toepasselijke principes en de uitzondering in strafzaken</w:t>
      </w:r>
      <w:r>
        <w:rPr>
          <w:b/>
          <w:bCs/>
          <w:lang w:val="nl-NL"/>
        </w:rPr>
        <w:t>………………………….</w:t>
      </w:r>
      <w:r w:rsidR="00627ECA" w:rsidRPr="00E62EA4">
        <w:rPr>
          <w:b/>
          <w:bCs/>
          <w:lang w:val="nl-NL"/>
        </w:rPr>
        <w:tab/>
        <w:t>7</w:t>
      </w:r>
      <w:r w:rsidR="00220546">
        <w:rPr>
          <w:b/>
          <w:bCs/>
          <w:lang w:val="nl-NL"/>
        </w:rPr>
        <w:t>9</w:t>
      </w:r>
    </w:p>
    <w:p w14:paraId="5ABE14E2" w14:textId="1C5A5661" w:rsidR="0004679C" w:rsidRDefault="00627ECA" w:rsidP="0004679C">
      <w:pPr>
        <w:tabs>
          <w:tab w:val="right" w:leader="dot" w:pos="9026"/>
        </w:tabs>
        <w:spacing w:line="240" w:lineRule="auto"/>
        <w:ind w:firstLine="720"/>
        <w:jc w:val="both"/>
        <w:rPr>
          <w:lang w:val="nl-NL"/>
        </w:rPr>
      </w:pPr>
      <w:r w:rsidRPr="00627ECA">
        <w:rPr>
          <w:lang w:val="nl-NL"/>
        </w:rPr>
        <w:t>Toepasselijke principes.</w:t>
      </w:r>
      <w:r w:rsidRPr="00627ECA">
        <w:rPr>
          <w:lang w:val="nl-NL"/>
        </w:rPr>
        <w:tab/>
        <w:t>7</w:t>
      </w:r>
      <w:r w:rsidR="00220546">
        <w:rPr>
          <w:lang w:val="nl-NL"/>
        </w:rPr>
        <w:t>9</w:t>
      </w:r>
    </w:p>
    <w:p w14:paraId="1906D1FA" w14:textId="0F79BD3B" w:rsidR="00627ECA" w:rsidRPr="00627ECA" w:rsidRDefault="00627ECA" w:rsidP="0004679C">
      <w:pPr>
        <w:tabs>
          <w:tab w:val="right" w:leader="dot" w:pos="9026"/>
        </w:tabs>
        <w:spacing w:line="240" w:lineRule="auto"/>
        <w:ind w:firstLine="720"/>
        <w:jc w:val="both"/>
        <w:rPr>
          <w:lang w:val="nl-NL"/>
        </w:rPr>
      </w:pPr>
      <w:r w:rsidRPr="00627ECA">
        <w:rPr>
          <w:lang w:val="nl-NL"/>
        </w:rPr>
        <w:t>Uitzondering</w:t>
      </w:r>
      <w:r w:rsidR="00C87F1C">
        <w:rPr>
          <w:lang w:val="nl-NL"/>
        </w:rPr>
        <w:t xml:space="preserve"> in </w:t>
      </w:r>
      <w:r w:rsidRPr="00627ECA">
        <w:rPr>
          <w:lang w:val="nl-NL"/>
        </w:rPr>
        <w:t>strafzake</w:t>
      </w:r>
      <w:r w:rsidR="00C87F1C">
        <w:rPr>
          <w:lang w:val="nl-NL"/>
        </w:rPr>
        <w:t>n</w:t>
      </w:r>
      <w:r w:rsidR="0004679C">
        <w:rPr>
          <w:lang w:val="nl-NL"/>
        </w:rPr>
        <w:tab/>
      </w:r>
      <w:r w:rsidRPr="00627ECA">
        <w:rPr>
          <w:lang w:val="nl-NL"/>
        </w:rPr>
        <w:t>79</w:t>
      </w:r>
    </w:p>
    <w:p w14:paraId="35B224DC" w14:textId="0DEDF8D9" w:rsidR="00627ECA" w:rsidRPr="00E62EA4" w:rsidRDefault="00E62EA4" w:rsidP="008D72C3">
      <w:pPr>
        <w:tabs>
          <w:tab w:val="right" w:pos="9026"/>
        </w:tabs>
        <w:spacing w:line="240" w:lineRule="auto"/>
        <w:jc w:val="both"/>
        <w:rPr>
          <w:b/>
          <w:bCs/>
          <w:lang w:val="nl-NL"/>
        </w:rPr>
      </w:pPr>
      <w:r w:rsidRPr="00E62EA4">
        <w:rPr>
          <w:b/>
          <w:bCs/>
          <w:lang w:val="nl-NL"/>
        </w:rPr>
        <w:t xml:space="preserve">      </w:t>
      </w:r>
      <w:r w:rsidR="00627ECA" w:rsidRPr="00E62EA4">
        <w:rPr>
          <w:b/>
          <w:bCs/>
          <w:lang w:val="nl-NL"/>
        </w:rPr>
        <w:t>Conflict tussen strafwetten.</w:t>
      </w:r>
      <w:r w:rsidR="00B67949" w:rsidRPr="008537FF">
        <w:rPr>
          <w:lang w:val="nl-NL"/>
        </w:rPr>
        <w:t xml:space="preserve"> ………………………………………………………………</w:t>
      </w:r>
      <w:r w:rsidR="00B67949">
        <w:rPr>
          <w:lang w:val="nl-NL"/>
        </w:rPr>
        <w:t>……………………………………..</w:t>
      </w:r>
      <w:r w:rsidR="00627ECA" w:rsidRPr="00E62EA4">
        <w:rPr>
          <w:b/>
          <w:bCs/>
          <w:lang w:val="nl-NL"/>
        </w:rPr>
        <w:tab/>
      </w:r>
      <w:r w:rsidR="00220546">
        <w:rPr>
          <w:b/>
          <w:bCs/>
          <w:lang w:val="nl-NL"/>
        </w:rPr>
        <w:t>80</w:t>
      </w:r>
    </w:p>
    <w:p w14:paraId="0E3CD8E0" w14:textId="2A02D146" w:rsidR="00627ECA" w:rsidRPr="00E62EA4" w:rsidRDefault="00E62EA4" w:rsidP="008D72C3">
      <w:pPr>
        <w:tabs>
          <w:tab w:val="left" w:pos="284"/>
          <w:tab w:val="right" w:pos="9026"/>
        </w:tabs>
        <w:spacing w:line="240" w:lineRule="auto"/>
        <w:jc w:val="both"/>
        <w:rPr>
          <w:b/>
          <w:bCs/>
          <w:lang w:val="nl-NL"/>
        </w:rPr>
      </w:pPr>
      <w:r w:rsidRPr="00E62EA4">
        <w:rPr>
          <w:b/>
          <w:bCs/>
          <w:lang w:val="nl-NL"/>
        </w:rPr>
        <w:t xml:space="preserve">      </w:t>
      </w:r>
      <w:r w:rsidR="00627ECA" w:rsidRPr="00E62EA4">
        <w:rPr>
          <w:b/>
          <w:bCs/>
          <w:lang w:val="nl-NL"/>
        </w:rPr>
        <w:t>Conflict tussen wetten die in verschillende straffen voorzien</w:t>
      </w:r>
      <w:r w:rsidR="00B67949">
        <w:rPr>
          <w:b/>
          <w:bCs/>
          <w:lang w:val="nl-NL"/>
        </w:rPr>
        <w:t>…………………………………………………</w:t>
      </w:r>
      <w:r w:rsidR="00627ECA" w:rsidRPr="00E62EA4">
        <w:rPr>
          <w:b/>
          <w:bCs/>
          <w:lang w:val="nl-NL"/>
        </w:rPr>
        <w:tab/>
      </w:r>
      <w:r w:rsidR="00220546">
        <w:rPr>
          <w:b/>
          <w:bCs/>
          <w:lang w:val="nl-NL"/>
        </w:rPr>
        <w:t>81</w:t>
      </w:r>
    </w:p>
    <w:p w14:paraId="4F58D1C1" w14:textId="66E2750D" w:rsidR="00627ECA" w:rsidRPr="00E62EA4" w:rsidRDefault="00627ECA" w:rsidP="008D72C3">
      <w:pPr>
        <w:tabs>
          <w:tab w:val="right" w:pos="9026"/>
        </w:tabs>
        <w:spacing w:line="240" w:lineRule="auto"/>
        <w:jc w:val="both"/>
        <w:rPr>
          <w:b/>
          <w:bCs/>
          <w:lang w:val="nl-NL"/>
        </w:rPr>
      </w:pPr>
      <w:r w:rsidRPr="00E62EA4">
        <w:rPr>
          <w:b/>
          <w:bCs/>
          <w:lang w:val="nl-NL"/>
        </w:rPr>
        <w:t>Conclusie</w:t>
      </w:r>
      <w:r w:rsidR="00BB1B3B">
        <w:rPr>
          <w:b/>
          <w:bCs/>
          <w:lang w:val="nl-NL"/>
        </w:rPr>
        <w:t>…………………………………………………………………………………………………………………………………….</w:t>
      </w:r>
      <w:r w:rsidRPr="00E62EA4">
        <w:rPr>
          <w:b/>
          <w:bCs/>
          <w:lang w:val="nl-NL"/>
        </w:rPr>
        <w:tab/>
        <w:t>8</w:t>
      </w:r>
      <w:r w:rsidR="00220546">
        <w:rPr>
          <w:b/>
          <w:bCs/>
          <w:lang w:val="nl-NL"/>
        </w:rPr>
        <w:t>5</w:t>
      </w:r>
    </w:p>
    <w:p w14:paraId="1D73C4CA" w14:textId="4BE31486" w:rsidR="00627ECA" w:rsidRPr="00E62EA4" w:rsidRDefault="00627ECA" w:rsidP="008D72C3">
      <w:pPr>
        <w:tabs>
          <w:tab w:val="right" w:pos="9026"/>
        </w:tabs>
        <w:spacing w:line="240" w:lineRule="auto"/>
        <w:jc w:val="both"/>
        <w:rPr>
          <w:b/>
          <w:bCs/>
          <w:lang w:val="nl-NL"/>
        </w:rPr>
      </w:pPr>
      <w:r w:rsidRPr="00E62EA4">
        <w:rPr>
          <w:b/>
          <w:bCs/>
          <w:lang w:val="nl-NL"/>
        </w:rPr>
        <w:t>IX. Bevoegdheid van de correctionele rechtbanken waarbij een zaak op een geldige manier</w:t>
      </w:r>
      <w:r w:rsidR="00BB1B3B">
        <w:rPr>
          <w:b/>
          <w:bCs/>
          <w:lang w:val="nl-NL"/>
        </w:rPr>
        <w:t xml:space="preserve"> </w:t>
      </w:r>
      <w:r w:rsidRPr="00E62EA4">
        <w:rPr>
          <w:b/>
          <w:bCs/>
          <w:lang w:val="nl-NL"/>
        </w:rPr>
        <w:t>aanhangig gemaakt werd vóór 1 juni 2022…………………………………………………………………………………..8</w:t>
      </w:r>
      <w:r w:rsidR="009839F1">
        <w:rPr>
          <w:b/>
          <w:bCs/>
          <w:lang w:val="nl-NL"/>
        </w:rPr>
        <w:t>5</w:t>
      </w:r>
    </w:p>
    <w:p w14:paraId="7D512D88" w14:textId="7F2C78FD" w:rsidR="00627ECA" w:rsidRPr="00A47617" w:rsidRDefault="00627ECA" w:rsidP="008D72C3">
      <w:pPr>
        <w:tabs>
          <w:tab w:val="right" w:pos="9026"/>
        </w:tabs>
        <w:spacing w:line="240" w:lineRule="auto"/>
        <w:jc w:val="both"/>
        <w:rPr>
          <w:lang w:val="nl-NL"/>
        </w:rPr>
      </w:pPr>
      <w:r w:rsidRPr="00E62EA4">
        <w:rPr>
          <w:b/>
          <w:bCs/>
          <w:lang w:val="nl-NL"/>
        </w:rPr>
        <w:t xml:space="preserve"> X.</w:t>
      </w:r>
      <w:r w:rsidR="00BB1B3B">
        <w:rPr>
          <w:b/>
          <w:bCs/>
          <w:lang w:val="nl-NL"/>
        </w:rPr>
        <w:t xml:space="preserve"> </w:t>
      </w:r>
      <w:r w:rsidRPr="00E62EA4">
        <w:rPr>
          <w:b/>
          <w:bCs/>
          <w:lang w:val="nl-NL"/>
        </w:rPr>
        <w:t>Evaluatie van de omzendbrief</w:t>
      </w:r>
      <w:r w:rsidRPr="00A47617">
        <w:rPr>
          <w:lang w:val="nl-NL"/>
        </w:rPr>
        <w:t>.</w:t>
      </w:r>
      <w:r w:rsidR="00BB1B3B" w:rsidRPr="00A47617">
        <w:rPr>
          <w:lang w:val="nl-NL"/>
        </w:rPr>
        <w:t xml:space="preserve"> ………………………………………………………………</w:t>
      </w:r>
      <w:r w:rsidR="00BB1B3B" w:rsidRPr="00A47617">
        <w:rPr>
          <w:lang w:val="nl-NL"/>
        </w:rPr>
        <w:t>………………………………….</w:t>
      </w:r>
      <w:r w:rsidRPr="00A47617">
        <w:rPr>
          <w:b/>
          <w:bCs/>
          <w:lang w:val="nl-NL"/>
        </w:rPr>
        <w:t>8</w:t>
      </w:r>
      <w:r w:rsidR="009839F1">
        <w:rPr>
          <w:b/>
          <w:bCs/>
          <w:lang w:val="nl-NL"/>
        </w:rPr>
        <w:t>6</w:t>
      </w:r>
    </w:p>
    <w:p w14:paraId="2E4CA46E" w14:textId="682A6CFB" w:rsidR="00627ECA" w:rsidRPr="00E62EA4" w:rsidRDefault="00627ECA" w:rsidP="009839F1">
      <w:pPr>
        <w:tabs>
          <w:tab w:val="left" w:leader="dot" w:pos="9026"/>
        </w:tabs>
        <w:spacing w:line="240" w:lineRule="auto"/>
        <w:jc w:val="both"/>
        <w:rPr>
          <w:b/>
          <w:bCs/>
          <w:lang w:val="nl-NL"/>
        </w:rPr>
      </w:pPr>
      <w:r w:rsidRPr="00E62EA4">
        <w:rPr>
          <w:b/>
          <w:bCs/>
          <w:lang w:val="nl-NL"/>
        </w:rPr>
        <w:t>XI.</w:t>
      </w:r>
      <w:r w:rsidR="003D4FD6">
        <w:rPr>
          <w:b/>
          <w:bCs/>
          <w:lang w:val="nl-NL"/>
        </w:rPr>
        <w:t xml:space="preserve"> </w:t>
      </w:r>
      <w:r w:rsidRPr="00E62EA4">
        <w:rPr>
          <w:b/>
          <w:bCs/>
          <w:lang w:val="nl-NL"/>
        </w:rPr>
        <w:t>Bijlage</w:t>
      </w:r>
      <w:r w:rsidR="003D4FD6">
        <w:rPr>
          <w:b/>
          <w:bCs/>
          <w:lang w:val="nl-NL"/>
        </w:rPr>
        <w:t>n………………………………………………………………………………………………………………………………….</w:t>
      </w:r>
      <w:r w:rsidRPr="00E62EA4">
        <w:rPr>
          <w:b/>
          <w:bCs/>
          <w:lang w:val="nl-NL"/>
        </w:rPr>
        <w:t>86</w:t>
      </w:r>
    </w:p>
    <w:p w14:paraId="3EB10669" w14:textId="284FAFAE" w:rsidR="008D72C3" w:rsidRDefault="008D72C3" w:rsidP="008D72C3">
      <w:pPr>
        <w:spacing w:line="240" w:lineRule="auto"/>
        <w:jc w:val="both"/>
        <w:rPr>
          <w:lang w:val="nl-NL"/>
        </w:rPr>
      </w:pPr>
    </w:p>
    <w:p w14:paraId="14136F45" w14:textId="48A0615D" w:rsidR="008D72C3" w:rsidRDefault="008D72C3" w:rsidP="009C15CF">
      <w:pPr>
        <w:jc w:val="both"/>
        <w:rPr>
          <w:lang w:val="nl-NL"/>
        </w:rPr>
      </w:pPr>
    </w:p>
    <w:p w14:paraId="4BC40892" w14:textId="77777777" w:rsidR="008D72C3" w:rsidRPr="0069784D" w:rsidRDefault="008D72C3" w:rsidP="009C15CF">
      <w:pPr>
        <w:jc w:val="both"/>
        <w:rPr>
          <w:lang w:val="nl-NL"/>
        </w:rPr>
      </w:pPr>
    </w:p>
    <w:p w14:paraId="0BA7BD5F" w14:textId="21FEBB15" w:rsidR="009B112A" w:rsidRPr="0069784D" w:rsidRDefault="009B112A" w:rsidP="009C15CF">
      <w:pPr>
        <w:pStyle w:val="ListParagraph"/>
        <w:numPr>
          <w:ilvl w:val="0"/>
          <w:numId w:val="22"/>
        </w:numPr>
        <w:jc w:val="both"/>
        <w:rPr>
          <w:b/>
          <w:sz w:val="36"/>
          <w:szCs w:val="36"/>
          <w:lang w:val="nl-BE"/>
        </w:rPr>
      </w:pPr>
      <w:r w:rsidRPr="0069784D">
        <w:rPr>
          <w:b/>
          <w:bCs/>
          <w:sz w:val="36"/>
          <w:szCs w:val="36"/>
          <w:lang w:val="nl-BE"/>
        </w:rPr>
        <w:lastRenderedPageBreak/>
        <w:t>Wetgevend kader</w:t>
      </w:r>
    </w:p>
    <w:p w14:paraId="1FCE4BAC" w14:textId="77777777" w:rsidR="00D34618" w:rsidRPr="0069784D" w:rsidRDefault="00D34618" w:rsidP="009C15CF">
      <w:pPr>
        <w:jc w:val="both"/>
        <w:rPr>
          <w:lang w:val="nl-BE"/>
        </w:rPr>
      </w:pPr>
    </w:p>
    <w:p w14:paraId="3D18AFC4" w14:textId="30861861" w:rsidR="009B112A" w:rsidRPr="0069784D" w:rsidRDefault="009B112A" w:rsidP="009C15CF">
      <w:pPr>
        <w:jc w:val="both"/>
        <w:rPr>
          <w:lang w:val="nl-BE"/>
        </w:rPr>
      </w:pPr>
      <w:r w:rsidRPr="0069784D">
        <w:rPr>
          <w:lang w:val="nl-BE"/>
        </w:rPr>
        <w:t xml:space="preserve">De wet van 21 maart 2022 voegt twee nieuwe hoofdstukken </w:t>
      </w:r>
      <w:r w:rsidR="00CE65B8">
        <w:rPr>
          <w:lang w:val="nl-BE"/>
        </w:rPr>
        <w:t xml:space="preserve">toe aan </w:t>
      </w:r>
      <w:r w:rsidRPr="0069784D">
        <w:rPr>
          <w:lang w:val="nl-BE"/>
        </w:rPr>
        <w:t>Boek II “De misdrijven en hun bestraffing in het bijzonder” – Titel VIII “Misdaden en wanbedrijven</w:t>
      </w:r>
      <w:r w:rsidR="00EE0684" w:rsidRPr="0069784D">
        <w:rPr>
          <w:lang w:val="nl-BE"/>
        </w:rPr>
        <w:t xml:space="preserve"> tegen de personen</w:t>
      </w:r>
      <w:r w:rsidR="00862E50">
        <w:rPr>
          <w:lang w:val="nl-BE"/>
        </w:rPr>
        <w:t>” van het Strafwetboek :</w:t>
      </w:r>
    </w:p>
    <w:p w14:paraId="771BCC44" w14:textId="77777777" w:rsidR="009B112A" w:rsidRPr="0069784D" w:rsidRDefault="009B112A" w:rsidP="009C15CF">
      <w:pPr>
        <w:pStyle w:val="ListParagraph"/>
        <w:numPr>
          <w:ilvl w:val="0"/>
          <w:numId w:val="8"/>
        </w:numPr>
        <w:jc w:val="both"/>
        <w:rPr>
          <w:lang w:val="nl-BE"/>
        </w:rPr>
      </w:pPr>
      <w:r w:rsidRPr="0069784D">
        <w:rPr>
          <w:lang w:val="nl-BE"/>
        </w:rPr>
        <w:t>hoofdstuk I/1: “</w:t>
      </w:r>
      <w:r w:rsidRPr="0069784D">
        <w:rPr>
          <w:rFonts w:cstheme="minorHAnsi"/>
          <w:color w:val="000000"/>
          <w:lang w:val="nl-BE"/>
        </w:rPr>
        <w:t>Misdrijven tegen de seksuele integriteit, het seksuele zelfbeschikkingsrecht en de goede zeden”</w:t>
      </w:r>
      <w:r w:rsidRPr="0069784D">
        <w:rPr>
          <w:lang w:val="nl-BE"/>
        </w:rPr>
        <w:t>.</w:t>
      </w:r>
    </w:p>
    <w:p w14:paraId="00783349" w14:textId="77777777" w:rsidR="009B112A" w:rsidRPr="0069784D" w:rsidRDefault="009B112A" w:rsidP="009C15CF">
      <w:pPr>
        <w:pStyle w:val="ListParagraph"/>
        <w:numPr>
          <w:ilvl w:val="0"/>
          <w:numId w:val="8"/>
        </w:numPr>
        <w:jc w:val="both"/>
        <w:rPr>
          <w:lang w:val="nl-BE"/>
        </w:rPr>
      </w:pPr>
      <w:r w:rsidRPr="0069784D">
        <w:rPr>
          <w:lang w:val="nl-BE"/>
        </w:rPr>
        <w:t>hoofdstuk III bis/1: “Misbruik van prostitutie”.</w:t>
      </w:r>
    </w:p>
    <w:p w14:paraId="1E541E43" w14:textId="12DFD793" w:rsidR="009B112A" w:rsidRPr="0069784D" w:rsidRDefault="009B112A" w:rsidP="009C15CF">
      <w:pPr>
        <w:jc w:val="both"/>
        <w:rPr>
          <w:lang w:val="nl-BE"/>
        </w:rPr>
      </w:pPr>
      <w:r w:rsidRPr="0069784D">
        <w:rPr>
          <w:lang w:val="nl-BE"/>
        </w:rPr>
        <w:t xml:space="preserve">Hoofdstuk I/1 </w:t>
      </w:r>
      <w:r w:rsidR="00CE65B8">
        <w:rPr>
          <w:lang w:val="nl-BE"/>
        </w:rPr>
        <w:t xml:space="preserve">bevat </w:t>
      </w:r>
      <w:r w:rsidR="00EE0684" w:rsidRPr="0069784D">
        <w:rPr>
          <w:lang w:val="nl-BE"/>
        </w:rPr>
        <w:t xml:space="preserve">voortaan </w:t>
      </w:r>
      <w:r w:rsidRPr="0069784D">
        <w:rPr>
          <w:lang w:val="nl-BE"/>
        </w:rPr>
        <w:t>een wettelijke verankering van het bijzonder strafrecht inzake seksuele misdrijven</w:t>
      </w:r>
      <w:r w:rsidR="00CE65B8">
        <w:rPr>
          <w:lang w:val="nl-BE"/>
        </w:rPr>
        <w:t xml:space="preserve"> via</w:t>
      </w:r>
      <w:r w:rsidR="003E3739">
        <w:rPr>
          <w:lang w:val="nl-BE"/>
        </w:rPr>
        <w:t xml:space="preserve"> i</w:t>
      </w:r>
      <w:r w:rsidRPr="0069784D">
        <w:rPr>
          <w:lang w:val="nl-BE"/>
        </w:rPr>
        <w:t>nvoeging van een aantal nieuwe artikelen</w:t>
      </w:r>
      <w:r w:rsidR="002E6324" w:rsidRPr="0069784D">
        <w:rPr>
          <w:lang w:val="nl-BE"/>
        </w:rPr>
        <w:t>,</w:t>
      </w:r>
      <w:r w:rsidRPr="0069784D">
        <w:rPr>
          <w:lang w:val="nl-BE"/>
        </w:rPr>
        <w:t xml:space="preserve"> waarvan de nummering evenwel niet </w:t>
      </w:r>
      <w:r w:rsidR="00BB24CB" w:rsidRPr="0069784D">
        <w:rPr>
          <w:lang w:val="nl-BE"/>
        </w:rPr>
        <w:t>volgt op deze van</w:t>
      </w:r>
      <w:r w:rsidRPr="0069784D">
        <w:rPr>
          <w:lang w:val="nl-BE"/>
        </w:rPr>
        <w:t xml:space="preserve"> de voorgaande artikels. Dit hoofdstuk wordt verder opgedeeld in afdelingen en onderafdelingen. </w:t>
      </w:r>
    </w:p>
    <w:p w14:paraId="1C19A04C" w14:textId="07EFA7DD" w:rsidR="009B112A" w:rsidRPr="0069784D" w:rsidRDefault="009B112A" w:rsidP="009C15CF">
      <w:pPr>
        <w:jc w:val="both"/>
        <w:rPr>
          <w:lang w:val="nl-BE"/>
        </w:rPr>
      </w:pPr>
      <w:r w:rsidRPr="0069784D">
        <w:rPr>
          <w:lang w:val="nl-BE"/>
        </w:rPr>
        <w:t xml:space="preserve">Hoofdstuk III bis/1 “Misbruik van prostitutie” (artikelen 433quater/1 tot 433quater/8) heeft betrekking op pooierschap, reclame maken voor </w:t>
      </w:r>
      <w:r w:rsidR="00EE0684" w:rsidRPr="0069784D">
        <w:rPr>
          <w:lang w:val="nl-BE"/>
        </w:rPr>
        <w:t>prostitutie</w:t>
      </w:r>
      <w:r w:rsidRPr="0069784D">
        <w:rPr>
          <w:lang w:val="nl-BE"/>
        </w:rPr>
        <w:t xml:space="preserve">, het in het openbaar aanzetten tot prostitutie, het verzwaard misbruik maken van prostitutie, de sluiting van inrichtingen, specifieke misdrijven en de niet-naleving van een straf die een verbod impliceert, en </w:t>
      </w:r>
      <w:r w:rsidR="002E6324" w:rsidRPr="0069784D">
        <w:rPr>
          <w:lang w:val="nl-BE"/>
        </w:rPr>
        <w:t>stelt</w:t>
      </w:r>
      <w:r w:rsidRPr="0069784D">
        <w:rPr>
          <w:lang w:val="nl-BE"/>
        </w:rPr>
        <w:t xml:space="preserve"> bovendien een multidisciplinaire evaluatie van de toepassing van dit hoofdstuk</w:t>
      </w:r>
      <w:r w:rsidR="002E6324" w:rsidRPr="0069784D">
        <w:rPr>
          <w:lang w:val="nl-BE"/>
        </w:rPr>
        <w:t xml:space="preserve"> voorop</w:t>
      </w:r>
      <w:r w:rsidRPr="0069784D">
        <w:rPr>
          <w:lang w:val="nl-BE"/>
        </w:rPr>
        <w:t>.</w:t>
      </w:r>
    </w:p>
    <w:p w14:paraId="1E274C2E" w14:textId="3626892C" w:rsidR="009B112A" w:rsidRPr="0069784D" w:rsidRDefault="009B112A" w:rsidP="009C15CF">
      <w:pPr>
        <w:jc w:val="both"/>
        <w:rPr>
          <w:lang w:val="nl-BE"/>
        </w:rPr>
      </w:pPr>
      <w:r w:rsidRPr="0069784D">
        <w:rPr>
          <w:lang w:val="nl-BE"/>
        </w:rPr>
        <w:t xml:space="preserve">In de wet van 21 maart 2022 worden verder de wijzigingen opgesomd die aan andere bepalingen van het Strafwetboek </w:t>
      </w:r>
      <w:r w:rsidR="002E6324" w:rsidRPr="0069784D">
        <w:rPr>
          <w:lang w:val="nl-BE"/>
        </w:rPr>
        <w:t>doorgevoerd</w:t>
      </w:r>
      <w:r w:rsidRPr="0069784D">
        <w:rPr>
          <w:lang w:val="nl-BE"/>
        </w:rPr>
        <w:t xml:space="preserve"> werden, evenals aan de Voorafgaande Titel van het Wetboek van Strafvordering, het Wetboek van Strafvordering zelf, de wet van 29 juni 1964 </w:t>
      </w:r>
      <w:r w:rsidRPr="0069784D">
        <w:rPr>
          <w:rFonts w:cstheme="minorHAnsi"/>
          <w:color w:val="000000"/>
          <w:lang w:val="nl-BE"/>
        </w:rPr>
        <w:t>betreffende de opschorting, het uitstel en de probatie</w:t>
      </w:r>
      <w:r w:rsidRPr="0069784D">
        <w:rPr>
          <w:lang w:val="nl-BE"/>
        </w:rPr>
        <w:t xml:space="preserve"> en de wet van 13 april 1995 </w:t>
      </w:r>
      <w:r w:rsidRPr="0069784D">
        <w:rPr>
          <w:rFonts w:cstheme="minorHAnsi"/>
          <w:color w:val="000000"/>
          <w:lang w:val="nl-BE"/>
        </w:rPr>
        <w:t>houdende bepalingen tot bestrijding van de mensenhandel en van de mensensmokkel</w:t>
      </w:r>
      <w:r w:rsidRPr="0069784D">
        <w:rPr>
          <w:lang w:val="nl-BE"/>
        </w:rPr>
        <w:t xml:space="preserve">. </w:t>
      </w:r>
    </w:p>
    <w:p w14:paraId="64A24442" w14:textId="0D0A56D5" w:rsidR="009B112A" w:rsidRPr="0069784D" w:rsidRDefault="009B112A" w:rsidP="009C15CF">
      <w:pPr>
        <w:jc w:val="both"/>
        <w:rPr>
          <w:lang w:val="nl-BE"/>
        </w:rPr>
      </w:pPr>
      <w:r w:rsidRPr="0069784D">
        <w:rPr>
          <w:lang w:val="nl-BE"/>
        </w:rPr>
        <w:t>Tot slot wordt verwezen naar de concordantietabel die als bijlage aan de wet gevoegd werd</w:t>
      </w:r>
      <w:r w:rsidRPr="0069784D">
        <w:rPr>
          <w:rStyle w:val="FootnoteReference"/>
          <w:lang w:val="nl-BE"/>
        </w:rPr>
        <w:footnoteReference w:id="1"/>
      </w:r>
      <w:r w:rsidRPr="0069784D">
        <w:rPr>
          <w:lang w:val="nl-BE"/>
        </w:rPr>
        <w:t>, de opheffende bepalingen en de inwerkingtreding van de wet</w:t>
      </w:r>
      <w:r w:rsidR="00EE0684" w:rsidRPr="0069784D">
        <w:rPr>
          <w:lang w:val="nl-BE"/>
        </w:rPr>
        <w:t>.</w:t>
      </w:r>
    </w:p>
    <w:p w14:paraId="78E9D9ED" w14:textId="77777777" w:rsidR="00CD31EE" w:rsidRPr="0069784D" w:rsidRDefault="00CD31EE" w:rsidP="009C15CF">
      <w:pPr>
        <w:jc w:val="both"/>
        <w:rPr>
          <w:lang w:val="nl-BE"/>
        </w:rPr>
      </w:pPr>
    </w:p>
    <w:p w14:paraId="6EA7E37A" w14:textId="463AC029" w:rsidR="009B112A" w:rsidRPr="0069784D" w:rsidRDefault="009B112A" w:rsidP="009C15CF">
      <w:pPr>
        <w:pStyle w:val="ListParagraph"/>
        <w:numPr>
          <w:ilvl w:val="0"/>
          <w:numId w:val="22"/>
        </w:numPr>
        <w:jc w:val="both"/>
        <w:rPr>
          <w:b/>
          <w:sz w:val="36"/>
          <w:szCs w:val="36"/>
          <w:lang w:val="nl-BE"/>
        </w:rPr>
      </w:pPr>
      <w:r w:rsidRPr="0069784D">
        <w:rPr>
          <w:b/>
          <w:sz w:val="36"/>
          <w:szCs w:val="36"/>
          <w:lang w:val="nl-BE"/>
        </w:rPr>
        <w:t>Bestemmelingen van de omzendbrief</w:t>
      </w:r>
    </w:p>
    <w:p w14:paraId="6D703962" w14:textId="77777777" w:rsidR="00D34618" w:rsidRPr="0069784D" w:rsidRDefault="00D34618" w:rsidP="009C15CF">
      <w:pPr>
        <w:jc w:val="both"/>
        <w:rPr>
          <w:lang w:val="nl-BE"/>
        </w:rPr>
      </w:pPr>
    </w:p>
    <w:p w14:paraId="39CEBCFA" w14:textId="60DCB96D" w:rsidR="009B112A" w:rsidRPr="0069784D" w:rsidRDefault="009B112A" w:rsidP="009C15CF">
      <w:pPr>
        <w:jc w:val="both"/>
        <w:rPr>
          <w:lang w:val="nl-BE"/>
        </w:rPr>
      </w:pPr>
      <w:r w:rsidRPr="0069784D">
        <w:rPr>
          <w:lang w:val="nl-BE"/>
        </w:rPr>
        <w:t xml:space="preserve">Deze omzendbrief is bestemd voor alle leden van het Openbaar Ministerie, aangezien zij </w:t>
      </w:r>
      <w:r w:rsidR="0060335B" w:rsidRPr="00BD78AF">
        <w:rPr>
          <w:lang w:val="nl-BE"/>
        </w:rPr>
        <w:t>noodzakelijkerwijs</w:t>
      </w:r>
      <w:r w:rsidRPr="0069784D">
        <w:rPr>
          <w:lang w:val="nl-BE"/>
        </w:rPr>
        <w:t xml:space="preserve"> met </w:t>
      </w:r>
      <w:r w:rsidR="002E6324" w:rsidRPr="0069784D">
        <w:rPr>
          <w:lang w:val="nl-BE"/>
        </w:rPr>
        <w:t>toepassings</w:t>
      </w:r>
      <w:r w:rsidRPr="0069784D">
        <w:rPr>
          <w:lang w:val="nl-BE"/>
        </w:rPr>
        <w:t>problemen geconfronteerd zullen worden vanaf de inwerkingtreding van de wet op 1 juni 2022.</w:t>
      </w:r>
    </w:p>
    <w:p w14:paraId="4B348DD3" w14:textId="77777777" w:rsidR="009B112A" w:rsidRPr="0069784D" w:rsidRDefault="009B112A" w:rsidP="009C15CF">
      <w:pPr>
        <w:jc w:val="both"/>
        <w:rPr>
          <w:lang w:val="nl-BE"/>
        </w:rPr>
      </w:pPr>
      <w:r w:rsidRPr="0069784D">
        <w:rPr>
          <w:lang w:val="nl-BE"/>
        </w:rPr>
        <w:t xml:space="preserve">Elk dossier zal immers, ongeacht de fase van de rechtspleging waarin het zich bevindt, door het Openbaar Ministerie geanalyseerd en afgehandeld moeten worden in het licht van de nieuwe wet en, </w:t>
      </w:r>
      <w:r w:rsidRPr="0069784D">
        <w:rPr>
          <w:lang w:val="nl-BE"/>
        </w:rPr>
        <w:lastRenderedPageBreak/>
        <w:t>in een groot aantal gevallen, van de delicate regels betreffende de toepassing van de strafwet in de tijd.</w:t>
      </w:r>
    </w:p>
    <w:p w14:paraId="3A31AAAC" w14:textId="1AC5D25B" w:rsidR="009B112A" w:rsidRPr="0069784D" w:rsidRDefault="009B112A" w:rsidP="009C15CF">
      <w:pPr>
        <w:jc w:val="both"/>
        <w:rPr>
          <w:lang w:val="nl-BE"/>
        </w:rPr>
      </w:pPr>
    </w:p>
    <w:p w14:paraId="1E6D6C37" w14:textId="77777777" w:rsidR="009B112A" w:rsidRPr="0069784D" w:rsidRDefault="009B112A" w:rsidP="009C15CF">
      <w:pPr>
        <w:pStyle w:val="ListParagraph"/>
        <w:numPr>
          <w:ilvl w:val="0"/>
          <w:numId w:val="22"/>
        </w:numPr>
        <w:jc w:val="both"/>
        <w:rPr>
          <w:b/>
          <w:sz w:val="36"/>
          <w:szCs w:val="36"/>
          <w:lang w:val="nl-BE"/>
        </w:rPr>
      </w:pPr>
      <w:r w:rsidRPr="0069784D">
        <w:rPr>
          <w:b/>
          <w:sz w:val="36"/>
          <w:szCs w:val="36"/>
          <w:lang w:val="nl-BE"/>
        </w:rPr>
        <w:t xml:space="preserve">Doelstellingen van de omzendbrief </w:t>
      </w:r>
    </w:p>
    <w:p w14:paraId="5ECAA021" w14:textId="77777777" w:rsidR="00D34618" w:rsidRPr="0069784D" w:rsidRDefault="00D34618" w:rsidP="009C15CF">
      <w:pPr>
        <w:jc w:val="both"/>
        <w:rPr>
          <w:lang w:val="nl-BE"/>
        </w:rPr>
      </w:pPr>
    </w:p>
    <w:p w14:paraId="66DD4AC0" w14:textId="0556676E" w:rsidR="009B112A" w:rsidRPr="0069784D" w:rsidRDefault="009B112A" w:rsidP="009C15CF">
      <w:pPr>
        <w:jc w:val="both"/>
        <w:rPr>
          <w:lang w:val="nl-BE"/>
        </w:rPr>
      </w:pPr>
      <w:r w:rsidRPr="0069784D">
        <w:rPr>
          <w:lang w:val="nl-BE"/>
        </w:rPr>
        <w:t>Deze omzendbrief streeft volgende doelstellingen na:</w:t>
      </w:r>
    </w:p>
    <w:p w14:paraId="5289A09C" w14:textId="77777777" w:rsidR="009B112A" w:rsidRPr="0069784D" w:rsidRDefault="009B112A" w:rsidP="009C15CF">
      <w:pPr>
        <w:pStyle w:val="ListParagraph"/>
        <w:numPr>
          <w:ilvl w:val="0"/>
          <w:numId w:val="7"/>
        </w:numPr>
        <w:jc w:val="both"/>
        <w:rPr>
          <w:lang w:val="nl-BE"/>
        </w:rPr>
      </w:pPr>
      <w:r w:rsidRPr="0069784D">
        <w:rPr>
          <w:lang w:val="nl-BE"/>
        </w:rPr>
        <w:t>afbakening van de wetgevende context en de intentie van de wetgever overeenkomstig de voorbereidende werkzaamheden.</w:t>
      </w:r>
    </w:p>
    <w:p w14:paraId="04E359FE" w14:textId="77777777" w:rsidR="009B112A" w:rsidRPr="0069784D" w:rsidRDefault="009B112A" w:rsidP="009C15CF">
      <w:pPr>
        <w:pStyle w:val="ListParagraph"/>
        <w:numPr>
          <w:ilvl w:val="0"/>
          <w:numId w:val="7"/>
        </w:numPr>
        <w:jc w:val="both"/>
        <w:rPr>
          <w:lang w:val="nl-BE"/>
        </w:rPr>
      </w:pPr>
      <w:r w:rsidRPr="0069784D">
        <w:rPr>
          <w:lang w:val="nl-BE"/>
        </w:rPr>
        <w:t>analyse van de nieuwe bepalingen uit de nieuwe hoofdstukken in het licht van de intentie van de wetgever en de vroegere wet.</w:t>
      </w:r>
    </w:p>
    <w:p w14:paraId="2100062B" w14:textId="77777777" w:rsidR="009B112A" w:rsidRPr="0069784D" w:rsidRDefault="009B112A" w:rsidP="009C15CF">
      <w:pPr>
        <w:pStyle w:val="ListParagraph"/>
        <w:numPr>
          <w:ilvl w:val="0"/>
          <w:numId w:val="7"/>
        </w:numPr>
        <w:jc w:val="both"/>
        <w:rPr>
          <w:lang w:val="nl-BE"/>
        </w:rPr>
      </w:pPr>
      <w:r w:rsidRPr="0069784D">
        <w:rPr>
          <w:lang w:val="nl-BE"/>
        </w:rPr>
        <w:t>herinnering aan de toepassing van de strafwet in de tijd.</w:t>
      </w:r>
    </w:p>
    <w:p w14:paraId="18F96F7F" w14:textId="77777777" w:rsidR="009B112A" w:rsidRPr="0069784D" w:rsidRDefault="009B112A" w:rsidP="009C15CF">
      <w:pPr>
        <w:pStyle w:val="ListParagraph"/>
        <w:numPr>
          <w:ilvl w:val="0"/>
          <w:numId w:val="7"/>
        </w:numPr>
        <w:jc w:val="both"/>
        <w:rPr>
          <w:lang w:val="nl-BE"/>
        </w:rPr>
      </w:pPr>
      <w:r w:rsidRPr="0069784D">
        <w:rPr>
          <w:lang w:val="nl-BE"/>
        </w:rPr>
        <w:t>omschrijving van de toepassingsproblemen die het gevolg van de nieuwe wet zijn.</w:t>
      </w:r>
    </w:p>
    <w:p w14:paraId="343726BE" w14:textId="77777777" w:rsidR="009B112A" w:rsidRPr="0069784D" w:rsidRDefault="009B112A" w:rsidP="009C15CF">
      <w:pPr>
        <w:pStyle w:val="ListParagraph"/>
        <w:numPr>
          <w:ilvl w:val="0"/>
          <w:numId w:val="7"/>
        </w:numPr>
        <w:jc w:val="both"/>
        <w:rPr>
          <w:lang w:val="nl-BE"/>
        </w:rPr>
      </w:pPr>
      <w:r w:rsidRPr="0069784D">
        <w:rPr>
          <w:lang w:val="nl-BE"/>
        </w:rPr>
        <w:t>terbeschikkingstelling van een praktische tool als bijlage, in de vorm van een vergelijkende tabel van de oude en de nieuwe wet.</w:t>
      </w:r>
    </w:p>
    <w:p w14:paraId="42D60510" w14:textId="77777777" w:rsidR="009B112A" w:rsidRPr="0069784D" w:rsidRDefault="009B112A" w:rsidP="009C15CF">
      <w:pPr>
        <w:pStyle w:val="Title"/>
        <w:jc w:val="both"/>
        <w:rPr>
          <w:sz w:val="22"/>
          <w:szCs w:val="22"/>
          <w:lang w:val="nl-BE"/>
        </w:rPr>
      </w:pPr>
    </w:p>
    <w:p w14:paraId="278D1FF0" w14:textId="77777777" w:rsidR="009B112A" w:rsidRPr="0069784D" w:rsidRDefault="009B112A" w:rsidP="009C15CF">
      <w:pPr>
        <w:pStyle w:val="ListParagraph"/>
        <w:numPr>
          <w:ilvl w:val="0"/>
          <w:numId w:val="22"/>
        </w:numPr>
        <w:jc w:val="both"/>
        <w:rPr>
          <w:b/>
          <w:sz w:val="36"/>
          <w:szCs w:val="36"/>
          <w:lang w:val="nl-BE"/>
        </w:rPr>
      </w:pPr>
      <w:r w:rsidRPr="0069784D">
        <w:rPr>
          <w:b/>
          <w:sz w:val="36"/>
          <w:szCs w:val="36"/>
          <w:lang w:val="nl-BE"/>
        </w:rPr>
        <w:t>Analyse van het wetgevend kader</w:t>
      </w:r>
    </w:p>
    <w:p w14:paraId="18974CB1" w14:textId="0373BFD8" w:rsidR="009B112A" w:rsidRPr="00416908" w:rsidRDefault="009B112A" w:rsidP="009C15CF">
      <w:pPr>
        <w:jc w:val="both"/>
        <w:rPr>
          <w:b/>
          <w:sz w:val="32"/>
          <w:szCs w:val="32"/>
          <w:lang w:val="fr-FR"/>
        </w:rPr>
      </w:pPr>
      <w:r w:rsidRPr="00416908">
        <w:rPr>
          <w:b/>
          <w:sz w:val="32"/>
          <w:szCs w:val="32"/>
          <w:lang w:val="fr-FR"/>
        </w:rPr>
        <w:t>Krachtlijnen van de wet</w:t>
      </w:r>
    </w:p>
    <w:p w14:paraId="7D63EE80" w14:textId="77777777" w:rsidR="00D34618" w:rsidRPr="0069784D" w:rsidRDefault="00D34618" w:rsidP="009C15CF">
      <w:pPr>
        <w:jc w:val="both"/>
        <w:rPr>
          <w:lang w:val="nl-BE"/>
        </w:rPr>
      </w:pPr>
    </w:p>
    <w:p w14:paraId="7F65F04C" w14:textId="1E6E0288" w:rsidR="009B112A" w:rsidRPr="0069784D" w:rsidRDefault="009B112A" w:rsidP="009C15CF">
      <w:pPr>
        <w:jc w:val="both"/>
        <w:rPr>
          <w:lang w:val="nl-BE"/>
        </w:rPr>
      </w:pPr>
      <w:r w:rsidRPr="0069784D">
        <w:rPr>
          <w:lang w:val="nl-BE"/>
        </w:rPr>
        <w:t xml:space="preserve">De strijd tegen de seksuele delinquentie is een absolute prioriteit van de regering, waarbij ervoor geopteerd werd om de inwerkingtreding van het nieuwe Strafwetboek niet af te wachten </w:t>
      </w:r>
      <w:r w:rsidR="002E6324" w:rsidRPr="0069784D">
        <w:rPr>
          <w:lang w:val="nl-BE"/>
        </w:rPr>
        <w:t>en nu al</w:t>
      </w:r>
      <w:r w:rsidRPr="0069784D">
        <w:rPr>
          <w:lang w:val="nl-BE"/>
        </w:rPr>
        <w:t xml:space="preserve"> het seksueel strafrecht te hervormen en te moderniseren.</w:t>
      </w:r>
    </w:p>
    <w:p w14:paraId="04C09730" w14:textId="7ACC24FE" w:rsidR="009B112A" w:rsidRPr="0069784D" w:rsidRDefault="009B112A" w:rsidP="009C15CF">
      <w:pPr>
        <w:jc w:val="both"/>
        <w:rPr>
          <w:lang w:val="nl-BE"/>
        </w:rPr>
      </w:pPr>
      <w:r w:rsidRPr="0069784D">
        <w:rPr>
          <w:lang w:val="nl-BE"/>
        </w:rPr>
        <w:t xml:space="preserve">Uit de parlementaire werkzaamheden </w:t>
      </w:r>
      <w:r w:rsidR="0060335B">
        <w:rPr>
          <w:lang w:val="nl-BE"/>
        </w:rPr>
        <w:t>blijkt</w:t>
      </w:r>
      <w:r w:rsidR="0060335B" w:rsidRPr="0069784D">
        <w:rPr>
          <w:lang w:val="nl-BE"/>
        </w:rPr>
        <w:t xml:space="preserve"> </w:t>
      </w:r>
      <w:r w:rsidRPr="0069784D">
        <w:rPr>
          <w:lang w:val="nl-BE"/>
        </w:rPr>
        <w:t xml:space="preserve">dat de wetgever streefde naar een wetgeving die de huidige maatschappelijke normen weerspiegelt. </w:t>
      </w:r>
    </w:p>
    <w:p w14:paraId="6B74BE6A" w14:textId="52FA1593" w:rsidR="009B112A" w:rsidRPr="0069784D" w:rsidRDefault="0060335B" w:rsidP="009C15CF">
      <w:pPr>
        <w:jc w:val="both"/>
        <w:rPr>
          <w:lang w:val="nl-BE"/>
        </w:rPr>
      </w:pPr>
      <w:r w:rsidRPr="00B32065">
        <w:rPr>
          <w:lang w:val="nl-BE"/>
        </w:rPr>
        <w:t>De Wet is gestoeld op de werkzaamheden</w:t>
      </w:r>
      <w:r w:rsidRPr="0069784D">
        <w:rPr>
          <w:lang w:val="nl-BE"/>
        </w:rPr>
        <w:t xml:space="preserve"> </w:t>
      </w:r>
      <w:r w:rsidR="009B112A" w:rsidRPr="0069784D">
        <w:rPr>
          <w:lang w:val="nl-BE"/>
        </w:rPr>
        <w:t xml:space="preserve">van de Commissie tot Hervorming van het Strafrecht, </w:t>
      </w:r>
      <w:r>
        <w:rPr>
          <w:lang w:val="nl-BE"/>
        </w:rPr>
        <w:t>en hield rekening</w:t>
      </w:r>
      <w:r w:rsidRPr="0069784D">
        <w:rPr>
          <w:lang w:val="nl-BE"/>
        </w:rPr>
        <w:t xml:space="preserve"> </w:t>
      </w:r>
      <w:r w:rsidR="009B112A" w:rsidRPr="0069784D">
        <w:rPr>
          <w:lang w:val="nl-BE"/>
        </w:rPr>
        <w:t xml:space="preserve">met de aanbeveling van de Raad van Europa op grond waarvan de Staten ervoor moeten zorgen dat </w:t>
      </w:r>
      <w:r>
        <w:rPr>
          <w:lang w:val="nl-BE"/>
        </w:rPr>
        <w:t>elke daad</w:t>
      </w:r>
      <w:r w:rsidRPr="0069784D">
        <w:rPr>
          <w:lang w:val="nl-BE"/>
        </w:rPr>
        <w:t xml:space="preserve"> </w:t>
      </w:r>
      <w:r w:rsidR="009B112A" w:rsidRPr="0069784D">
        <w:rPr>
          <w:lang w:val="nl-BE"/>
        </w:rPr>
        <w:t xml:space="preserve">van seksueel geweld ten aanzien van een persoon in hun strafwetgeving beschouwd </w:t>
      </w:r>
      <w:r>
        <w:rPr>
          <w:lang w:val="nl-BE"/>
        </w:rPr>
        <w:t>wordt</w:t>
      </w:r>
      <w:r w:rsidR="009B112A" w:rsidRPr="0069784D">
        <w:rPr>
          <w:lang w:val="nl-BE"/>
        </w:rPr>
        <w:t xml:space="preserve"> als een aantasting van de vrijheid en de fysieke, psychologische en/of seksuele integriteit van de persoon in kwestie, en niet enkel gebaseerd </w:t>
      </w:r>
      <w:r>
        <w:rPr>
          <w:lang w:val="nl-BE"/>
        </w:rPr>
        <w:t>is</w:t>
      </w:r>
      <w:r w:rsidR="009B112A" w:rsidRPr="0069784D">
        <w:rPr>
          <w:lang w:val="nl-BE"/>
        </w:rPr>
        <w:t xml:space="preserve"> op een aantasting van </w:t>
      </w:r>
      <w:r>
        <w:rPr>
          <w:lang w:val="nl-BE"/>
        </w:rPr>
        <w:t>de</w:t>
      </w:r>
      <w:r w:rsidR="009B112A" w:rsidRPr="0069784D">
        <w:rPr>
          <w:lang w:val="nl-BE"/>
        </w:rPr>
        <w:t xml:space="preserve"> moraal, de eer of de goede zeden.  </w:t>
      </w:r>
    </w:p>
    <w:p w14:paraId="78B9C843" w14:textId="77777777" w:rsidR="009B112A" w:rsidRPr="0069784D" w:rsidRDefault="009B112A" w:rsidP="009C15CF">
      <w:pPr>
        <w:jc w:val="both"/>
        <w:rPr>
          <w:lang w:val="nl-BE"/>
        </w:rPr>
      </w:pPr>
      <w:r w:rsidRPr="0069784D">
        <w:rPr>
          <w:lang w:val="nl-BE"/>
        </w:rPr>
        <w:t xml:space="preserve">Bij de definitie van de misdrijven wordt naar genderneutraliteit gestreefd. </w:t>
      </w:r>
    </w:p>
    <w:p w14:paraId="0A44B7F1" w14:textId="7DC18F32" w:rsidR="009B112A" w:rsidRPr="0069784D" w:rsidRDefault="009B112A" w:rsidP="009C15CF">
      <w:pPr>
        <w:jc w:val="both"/>
        <w:rPr>
          <w:lang w:val="nl-BE"/>
        </w:rPr>
      </w:pPr>
    </w:p>
    <w:p w14:paraId="059F642F" w14:textId="4ED30BA8" w:rsidR="00D34618" w:rsidRPr="0069784D" w:rsidRDefault="00D34618" w:rsidP="009C15CF">
      <w:pPr>
        <w:jc w:val="both"/>
        <w:rPr>
          <w:lang w:val="nl-BE"/>
        </w:rPr>
      </w:pPr>
    </w:p>
    <w:p w14:paraId="117308CC" w14:textId="3D357C39" w:rsidR="00D34618" w:rsidRDefault="00D34618" w:rsidP="009C15CF">
      <w:pPr>
        <w:jc w:val="both"/>
        <w:rPr>
          <w:lang w:val="nl-BE"/>
        </w:rPr>
      </w:pPr>
    </w:p>
    <w:p w14:paraId="47EB58DE" w14:textId="77777777" w:rsidR="003C2CA9" w:rsidRPr="0069784D" w:rsidRDefault="003C2CA9" w:rsidP="009C15CF">
      <w:pPr>
        <w:jc w:val="both"/>
        <w:rPr>
          <w:lang w:val="nl-BE"/>
        </w:rPr>
      </w:pPr>
    </w:p>
    <w:p w14:paraId="095146EF" w14:textId="651822BA" w:rsidR="009B112A" w:rsidRPr="0069784D" w:rsidRDefault="009B112A" w:rsidP="009C15CF">
      <w:pPr>
        <w:pStyle w:val="ListParagraph"/>
        <w:numPr>
          <w:ilvl w:val="0"/>
          <w:numId w:val="20"/>
        </w:numPr>
        <w:jc w:val="both"/>
        <w:rPr>
          <w:b/>
          <w:sz w:val="32"/>
          <w:szCs w:val="32"/>
          <w:lang w:val="nl-BE"/>
        </w:rPr>
      </w:pPr>
      <w:r w:rsidRPr="0069784D">
        <w:rPr>
          <w:b/>
          <w:sz w:val="32"/>
          <w:szCs w:val="32"/>
          <w:lang w:val="nl-BE"/>
        </w:rPr>
        <w:lastRenderedPageBreak/>
        <w:t>Structuur en terminologie</w:t>
      </w:r>
    </w:p>
    <w:p w14:paraId="7D94EDB2" w14:textId="77777777" w:rsidR="00D34618" w:rsidRPr="0069784D" w:rsidRDefault="00D34618" w:rsidP="009C15CF">
      <w:pPr>
        <w:jc w:val="both"/>
        <w:rPr>
          <w:lang w:val="nl-BE"/>
        </w:rPr>
      </w:pPr>
    </w:p>
    <w:p w14:paraId="0E1B0303" w14:textId="1E5C9AC2" w:rsidR="009B112A" w:rsidRPr="0069784D" w:rsidRDefault="009B112A" w:rsidP="009C15CF">
      <w:pPr>
        <w:jc w:val="both"/>
        <w:rPr>
          <w:lang w:val="nl-BE"/>
        </w:rPr>
      </w:pPr>
      <w:r w:rsidRPr="0069784D">
        <w:rPr>
          <w:lang w:val="nl-BE"/>
        </w:rPr>
        <w:t>Het seksueel strafrecht wordt opgenomen in Titel VIII betreffende de misdrijven tegen de personen, en meer bijzonder in een nieuw hoofdstuk I/1 “</w:t>
      </w:r>
      <w:r w:rsidRPr="0069784D">
        <w:rPr>
          <w:rFonts w:cstheme="minorHAnsi"/>
          <w:color w:val="000000"/>
          <w:lang w:val="nl-BE"/>
        </w:rPr>
        <w:t xml:space="preserve">Misdrijven tegen de seksuele integriteit, het seksuele zelfbeschikkingsrecht en de goede zeden”, dat volgt op het hoofdstuk </w:t>
      </w:r>
      <w:r w:rsidR="003A5DD8">
        <w:rPr>
          <w:lang w:val="nl-BE"/>
        </w:rPr>
        <w:t>opzettelijk doden, opzettelijk toebrengen van lichamelijk letsel, foltering, onmenselijke behandeling en onterende behandeling</w:t>
      </w:r>
      <w:r w:rsidRPr="0069784D">
        <w:rPr>
          <w:rFonts w:cstheme="minorHAnsi"/>
          <w:color w:val="000000"/>
          <w:lang w:val="nl-BE"/>
        </w:rPr>
        <w:t xml:space="preserve">. </w:t>
      </w:r>
    </w:p>
    <w:p w14:paraId="3D4F48CE" w14:textId="6DC81FCA" w:rsidR="009B112A" w:rsidRPr="0069784D" w:rsidRDefault="009B112A" w:rsidP="009C15CF">
      <w:pPr>
        <w:jc w:val="both"/>
        <w:rPr>
          <w:lang w:val="nl-BE"/>
        </w:rPr>
      </w:pPr>
      <w:r w:rsidRPr="0069784D">
        <w:rPr>
          <w:lang w:val="nl-BE"/>
        </w:rPr>
        <w:t xml:space="preserve">De wetgever </w:t>
      </w:r>
      <w:r w:rsidR="003A5DD8">
        <w:rPr>
          <w:lang w:val="nl-BE"/>
        </w:rPr>
        <w:t>stelt</w:t>
      </w:r>
      <w:r w:rsidR="003A5DD8" w:rsidRPr="0069784D">
        <w:rPr>
          <w:lang w:val="nl-BE"/>
        </w:rPr>
        <w:t xml:space="preserve"> </w:t>
      </w:r>
      <w:r w:rsidRPr="0069784D">
        <w:rPr>
          <w:lang w:val="nl-BE"/>
        </w:rPr>
        <w:t xml:space="preserve">dat seksuele misdrijven beschouwd moeten worden als misdrijven tegen de personen en niet als misdrijven tegen de familiale vrede of de goede zeden. </w:t>
      </w:r>
    </w:p>
    <w:p w14:paraId="25A8E1F3" w14:textId="6A9EBAA0" w:rsidR="009B112A" w:rsidRPr="0069784D" w:rsidRDefault="009B112A" w:rsidP="009C15CF">
      <w:pPr>
        <w:jc w:val="both"/>
        <w:rPr>
          <w:lang w:val="nl-BE"/>
        </w:rPr>
      </w:pPr>
      <w:r w:rsidRPr="0069784D">
        <w:rPr>
          <w:lang w:val="nl-BE"/>
        </w:rPr>
        <w:t xml:space="preserve">De seksuele autonomie wordt </w:t>
      </w:r>
      <w:r w:rsidR="00264412" w:rsidRPr="0069784D">
        <w:rPr>
          <w:lang w:val="nl-BE"/>
        </w:rPr>
        <w:t xml:space="preserve">bovendien </w:t>
      </w:r>
      <w:r w:rsidRPr="0069784D">
        <w:rPr>
          <w:lang w:val="nl-BE"/>
        </w:rPr>
        <w:t xml:space="preserve">bevestigd en </w:t>
      </w:r>
      <w:r w:rsidR="003A5DD8" w:rsidRPr="003350A5">
        <w:rPr>
          <w:lang w:val="nl-BE"/>
        </w:rPr>
        <w:t>betekent</w:t>
      </w:r>
      <w:r w:rsidRPr="0069784D">
        <w:rPr>
          <w:lang w:val="nl-BE"/>
        </w:rPr>
        <w:t xml:space="preserve"> dat het eenieder vrij staat om al dan niet bepaalde handelingen van seksuele aard te stellen of eraan deel te nemen. Deze vrijheid moet </w:t>
      </w:r>
      <w:r w:rsidR="00264412" w:rsidRPr="0069784D">
        <w:rPr>
          <w:lang w:val="nl-BE"/>
        </w:rPr>
        <w:t>daarenboven</w:t>
      </w:r>
      <w:r w:rsidRPr="0069784D">
        <w:rPr>
          <w:lang w:val="nl-BE"/>
        </w:rPr>
        <w:t xml:space="preserve"> in alle veiligheid uitgeoefend kunnen worden. De begrippen ‘seksuele autonomie’ en ‘toestemming’ maken deel uit van wat in de wet het </w:t>
      </w:r>
      <w:r w:rsidR="00264412" w:rsidRPr="0069784D">
        <w:rPr>
          <w:lang w:val="nl-BE"/>
        </w:rPr>
        <w:t>‘</w:t>
      </w:r>
      <w:r w:rsidRPr="0069784D">
        <w:rPr>
          <w:lang w:val="nl-BE"/>
        </w:rPr>
        <w:t>seksuele zelfbeschikkingsrecht</w:t>
      </w:r>
      <w:r w:rsidR="00264412" w:rsidRPr="0069784D">
        <w:rPr>
          <w:lang w:val="nl-BE"/>
        </w:rPr>
        <w:t>’</w:t>
      </w:r>
      <w:r w:rsidRPr="0069784D">
        <w:rPr>
          <w:lang w:val="nl-BE"/>
        </w:rPr>
        <w:t xml:space="preserve"> genoemd wordt. </w:t>
      </w:r>
    </w:p>
    <w:p w14:paraId="5AF0FC52" w14:textId="01A5B67F" w:rsidR="009B112A" w:rsidRPr="0069784D" w:rsidRDefault="009B112A" w:rsidP="009C15CF">
      <w:pPr>
        <w:jc w:val="both"/>
        <w:rPr>
          <w:lang w:val="nl-BE"/>
        </w:rPr>
      </w:pPr>
      <w:r w:rsidRPr="0069784D">
        <w:rPr>
          <w:lang w:val="nl-BE"/>
        </w:rPr>
        <w:t xml:space="preserve">Het is deze seksuele autonomie die </w:t>
      </w:r>
      <w:r w:rsidR="003A5DD8" w:rsidRPr="00B32065">
        <w:rPr>
          <w:lang w:val="nl-BE"/>
        </w:rPr>
        <w:t>beschermd</w:t>
      </w:r>
      <w:r w:rsidRPr="0069784D">
        <w:rPr>
          <w:lang w:val="nl-BE"/>
        </w:rPr>
        <w:t xml:space="preserve"> moet worden, en niet de </w:t>
      </w:r>
      <w:r w:rsidR="003A5DD8">
        <w:rPr>
          <w:lang w:val="nl-BE"/>
        </w:rPr>
        <w:t>orde der familie</w:t>
      </w:r>
      <w:r w:rsidRPr="0069784D">
        <w:rPr>
          <w:lang w:val="nl-BE"/>
        </w:rPr>
        <w:t xml:space="preserve"> of eer van de betrokken persoon. </w:t>
      </w:r>
    </w:p>
    <w:p w14:paraId="00B55F68" w14:textId="77777777" w:rsidR="00C200F7" w:rsidRPr="0069784D" w:rsidRDefault="00C200F7" w:rsidP="009C15CF">
      <w:pPr>
        <w:jc w:val="both"/>
        <w:rPr>
          <w:lang w:val="nl-BE"/>
        </w:rPr>
      </w:pPr>
    </w:p>
    <w:p w14:paraId="6A0CB5D8" w14:textId="42093A41" w:rsidR="009B112A" w:rsidRPr="0069784D" w:rsidRDefault="009B112A" w:rsidP="009C15CF">
      <w:pPr>
        <w:pStyle w:val="ListParagraph"/>
        <w:numPr>
          <w:ilvl w:val="0"/>
          <w:numId w:val="20"/>
        </w:numPr>
        <w:jc w:val="both"/>
        <w:rPr>
          <w:b/>
          <w:sz w:val="32"/>
          <w:szCs w:val="32"/>
          <w:lang w:val="nl-BE"/>
        </w:rPr>
      </w:pPr>
      <w:r w:rsidRPr="0069784D">
        <w:rPr>
          <w:b/>
          <w:sz w:val="32"/>
          <w:szCs w:val="32"/>
          <w:lang w:val="nl-BE"/>
        </w:rPr>
        <w:t>Toestemming</w:t>
      </w:r>
    </w:p>
    <w:p w14:paraId="3C79A239" w14:textId="77777777" w:rsidR="00D34618" w:rsidRPr="0069784D" w:rsidRDefault="00D34618" w:rsidP="009C15CF">
      <w:pPr>
        <w:jc w:val="both"/>
        <w:rPr>
          <w:lang w:val="nl-BE"/>
        </w:rPr>
      </w:pPr>
    </w:p>
    <w:p w14:paraId="04A91A6E" w14:textId="556FC8DD" w:rsidR="009B112A" w:rsidRPr="0069784D" w:rsidRDefault="009B112A" w:rsidP="009C15CF">
      <w:pPr>
        <w:jc w:val="both"/>
        <w:rPr>
          <w:lang w:val="nl-BE"/>
        </w:rPr>
      </w:pPr>
      <w:r w:rsidRPr="0069784D">
        <w:rPr>
          <w:lang w:val="nl-BE"/>
        </w:rPr>
        <w:t xml:space="preserve">De wetgever acht het wenselijk dat de </w:t>
      </w:r>
      <w:r w:rsidRPr="0069784D">
        <w:rPr>
          <w:b/>
          <w:bCs/>
          <w:lang w:val="nl-BE"/>
        </w:rPr>
        <w:t>‘toestemming’</w:t>
      </w:r>
      <w:r w:rsidRPr="0069784D">
        <w:rPr>
          <w:lang w:val="nl-BE"/>
        </w:rPr>
        <w:t xml:space="preserve"> een centrale plaats inneemt bij alle seksuele misdrijven en streeft ernaar om dit begrip op een precieze manier te definiëren. </w:t>
      </w:r>
    </w:p>
    <w:p w14:paraId="6667A435" w14:textId="6F4BFE31" w:rsidR="009B112A" w:rsidRPr="0069784D" w:rsidRDefault="009B112A" w:rsidP="009C15CF">
      <w:pPr>
        <w:jc w:val="both"/>
        <w:rPr>
          <w:lang w:val="nl-BE"/>
        </w:rPr>
      </w:pPr>
      <w:r w:rsidRPr="0069784D">
        <w:rPr>
          <w:lang w:val="nl-BE"/>
        </w:rPr>
        <w:t>Ondanks deze intentie is de formulering van artikel 417/5 veeleer een opsomming van voorwaarden of omstandigheden waaruit deze toestemming al dan niet afgeleid kan worden. Het gaat hier dus niet echt om een definitie</w:t>
      </w:r>
      <w:r w:rsidR="00654E27" w:rsidRPr="0069784D">
        <w:rPr>
          <w:lang w:val="nl-BE"/>
        </w:rPr>
        <w:t xml:space="preserve"> in de strikte zin van het woord</w:t>
      </w:r>
      <w:r w:rsidRPr="0069784D">
        <w:rPr>
          <w:lang w:val="nl-BE"/>
        </w:rPr>
        <w:t xml:space="preserve">. </w:t>
      </w:r>
    </w:p>
    <w:p w14:paraId="31137293" w14:textId="791CF989" w:rsidR="009B112A" w:rsidRPr="0069784D" w:rsidRDefault="009B112A" w:rsidP="009C15CF">
      <w:pPr>
        <w:jc w:val="both"/>
        <w:rPr>
          <w:lang w:val="nl-BE"/>
        </w:rPr>
      </w:pPr>
      <w:r w:rsidRPr="0069784D">
        <w:rPr>
          <w:lang w:val="nl-BE"/>
        </w:rPr>
        <w:t>De in artikel 417/5</w:t>
      </w:r>
      <w:r w:rsidR="00C200F7" w:rsidRPr="0069784D">
        <w:rPr>
          <w:lang w:val="nl-BE"/>
        </w:rPr>
        <w:t xml:space="preserve"> </w:t>
      </w:r>
      <w:r w:rsidRPr="0069784D">
        <w:rPr>
          <w:lang w:val="nl-BE"/>
        </w:rPr>
        <w:t xml:space="preserve">opgesomde voorwaarden of omstandigheden werden reeds in de rechtspraak </w:t>
      </w:r>
      <w:r w:rsidR="003A5DD8" w:rsidRPr="003350A5">
        <w:rPr>
          <w:lang w:val="nl-BE"/>
        </w:rPr>
        <w:t>toegepast</w:t>
      </w:r>
      <w:r w:rsidRPr="0069784D">
        <w:rPr>
          <w:lang w:val="nl-BE"/>
        </w:rPr>
        <w:t xml:space="preserve"> en zijn niet exhaustief. </w:t>
      </w:r>
    </w:p>
    <w:p w14:paraId="521F4BC4" w14:textId="77777777" w:rsidR="009B112A" w:rsidRPr="0069784D" w:rsidRDefault="009B112A" w:rsidP="009C15CF">
      <w:pPr>
        <w:jc w:val="both"/>
        <w:rPr>
          <w:lang w:val="nl-BE"/>
        </w:rPr>
      </w:pPr>
      <w:r w:rsidRPr="0069784D">
        <w:rPr>
          <w:lang w:val="nl-BE"/>
        </w:rPr>
        <w:t xml:space="preserve">In de praktijk dienen de magistraten alle feitelijke omstandigheden van de zaak te beoordelen om te beslissen of er al dan niet sprake van toestemming is. </w:t>
      </w:r>
    </w:p>
    <w:p w14:paraId="15AA7A4B" w14:textId="12015DFB" w:rsidR="009B112A" w:rsidRPr="0069784D" w:rsidRDefault="009B112A" w:rsidP="009C15CF">
      <w:pPr>
        <w:jc w:val="both"/>
        <w:rPr>
          <w:lang w:val="nl-BE"/>
        </w:rPr>
      </w:pPr>
      <w:r w:rsidRPr="0069784D">
        <w:rPr>
          <w:lang w:val="nl-BE"/>
        </w:rPr>
        <w:t xml:space="preserve">De wetgever geeft aan dat het niet zijn intentie is om de bewijslast om te keren door in alle gevallen uit te gaan van </w:t>
      </w:r>
      <w:r w:rsidR="00264412" w:rsidRPr="0069784D">
        <w:rPr>
          <w:lang w:val="nl-BE"/>
        </w:rPr>
        <w:t xml:space="preserve">een </w:t>
      </w:r>
      <w:r w:rsidR="003A5DD8" w:rsidRPr="00485B7D">
        <w:rPr>
          <w:lang w:val="nl-BE"/>
        </w:rPr>
        <w:t>gebrek a</w:t>
      </w:r>
      <w:r w:rsidR="003A5DD8">
        <w:rPr>
          <w:lang w:val="nl-BE"/>
        </w:rPr>
        <w:t>an</w:t>
      </w:r>
      <w:r w:rsidR="003A5DD8" w:rsidRPr="0069784D">
        <w:rPr>
          <w:lang w:val="nl-BE"/>
        </w:rPr>
        <w:t xml:space="preserve"> </w:t>
      </w:r>
      <w:r w:rsidR="00264412" w:rsidRPr="0069784D">
        <w:rPr>
          <w:lang w:val="nl-BE"/>
        </w:rPr>
        <w:t>toestemming</w:t>
      </w:r>
      <w:r w:rsidRPr="0069784D">
        <w:rPr>
          <w:lang w:val="nl-BE"/>
        </w:rPr>
        <w:t xml:space="preserve"> vanwege het slachtoffer noch om de verdachte te verplichten de toestemming van de partner te bewijzen. </w:t>
      </w:r>
    </w:p>
    <w:p w14:paraId="48224BCA" w14:textId="3885CEA9" w:rsidR="009B112A" w:rsidRPr="0069784D" w:rsidRDefault="009B112A" w:rsidP="009C15CF">
      <w:pPr>
        <w:jc w:val="both"/>
        <w:rPr>
          <w:lang w:val="nl-BE"/>
        </w:rPr>
      </w:pPr>
      <w:r w:rsidRPr="0069784D">
        <w:rPr>
          <w:lang w:val="nl-BE"/>
        </w:rPr>
        <w:t xml:space="preserve">Het Openbaar Ministerie </w:t>
      </w:r>
      <w:r w:rsidR="00EE0684" w:rsidRPr="0069784D">
        <w:rPr>
          <w:lang w:val="nl-BE"/>
        </w:rPr>
        <w:t xml:space="preserve">moet nog steeds </w:t>
      </w:r>
      <w:r w:rsidR="003A5DD8">
        <w:rPr>
          <w:lang w:val="nl-BE"/>
        </w:rPr>
        <w:t>dit gebrek aan</w:t>
      </w:r>
      <w:r w:rsidR="003A5DD8" w:rsidRPr="0069784D">
        <w:rPr>
          <w:lang w:val="nl-BE"/>
        </w:rPr>
        <w:t xml:space="preserve"> </w:t>
      </w:r>
      <w:r w:rsidRPr="0069784D">
        <w:rPr>
          <w:lang w:val="nl-BE"/>
        </w:rPr>
        <w:t>toestemming</w:t>
      </w:r>
      <w:r w:rsidR="00EE0684" w:rsidRPr="0069784D">
        <w:rPr>
          <w:lang w:val="nl-BE"/>
        </w:rPr>
        <w:t xml:space="preserve"> bewijzen</w:t>
      </w:r>
      <w:r w:rsidRPr="0069784D">
        <w:rPr>
          <w:lang w:val="nl-BE"/>
        </w:rPr>
        <w:t xml:space="preserve">, waarbij </w:t>
      </w:r>
      <w:r w:rsidR="003A5DD8">
        <w:rPr>
          <w:lang w:val="nl-BE"/>
        </w:rPr>
        <w:t>twijfel steeds in het voordeel van de verdachte dient te spelen</w:t>
      </w:r>
      <w:r w:rsidRPr="0069784D">
        <w:rPr>
          <w:lang w:val="nl-BE"/>
        </w:rPr>
        <w:t xml:space="preserve">. </w:t>
      </w:r>
    </w:p>
    <w:p w14:paraId="66C2553A" w14:textId="7C1464C9" w:rsidR="009B112A" w:rsidRPr="0069784D" w:rsidRDefault="009B112A" w:rsidP="009C15CF">
      <w:pPr>
        <w:jc w:val="both"/>
        <w:rPr>
          <w:lang w:val="nl-BE"/>
        </w:rPr>
      </w:pPr>
      <w:r w:rsidRPr="0069784D">
        <w:rPr>
          <w:lang w:val="nl-BE"/>
        </w:rPr>
        <w:t>Voor het overige wordt verwezen naar de analyse van de artikelen 417/5 en 417/6.</w:t>
      </w:r>
    </w:p>
    <w:p w14:paraId="356B7A57" w14:textId="215139AE" w:rsidR="00C200F7" w:rsidRPr="0069784D" w:rsidRDefault="00C200F7" w:rsidP="009C15CF">
      <w:pPr>
        <w:jc w:val="both"/>
        <w:rPr>
          <w:lang w:val="nl-BE"/>
        </w:rPr>
      </w:pPr>
    </w:p>
    <w:p w14:paraId="441E7AF0" w14:textId="77777777" w:rsidR="00D34618" w:rsidRPr="0069784D" w:rsidRDefault="00D34618" w:rsidP="009C15CF">
      <w:pPr>
        <w:jc w:val="both"/>
        <w:rPr>
          <w:lang w:val="nl-BE"/>
        </w:rPr>
      </w:pPr>
    </w:p>
    <w:p w14:paraId="484C91E6" w14:textId="1872899C" w:rsidR="009B112A" w:rsidRPr="0069784D" w:rsidRDefault="009B112A" w:rsidP="009C15CF">
      <w:pPr>
        <w:pStyle w:val="ListParagraph"/>
        <w:numPr>
          <w:ilvl w:val="0"/>
          <w:numId w:val="20"/>
        </w:numPr>
        <w:jc w:val="both"/>
        <w:rPr>
          <w:b/>
          <w:sz w:val="32"/>
          <w:szCs w:val="32"/>
          <w:lang w:val="nl-BE"/>
        </w:rPr>
      </w:pPr>
      <w:r w:rsidRPr="0069784D">
        <w:rPr>
          <w:b/>
          <w:sz w:val="32"/>
          <w:szCs w:val="32"/>
          <w:lang w:val="nl-BE"/>
        </w:rPr>
        <w:lastRenderedPageBreak/>
        <w:t>Seksuele meerderjarigheid</w:t>
      </w:r>
    </w:p>
    <w:p w14:paraId="3CA47728" w14:textId="77777777" w:rsidR="00D34618" w:rsidRPr="0069784D" w:rsidRDefault="00D34618" w:rsidP="009C15CF">
      <w:pPr>
        <w:jc w:val="both"/>
        <w:rPr>
          <w:lang w:val="nl-BE"/>
        </w:rPr>
      </w:pPr>
    </w:p>
    <w:p w14:paraId="3C85F9C0" w14:textId="51B5EFF6" w:rsidR="009B112A" w:rsidRPr="0069784D" w:rsidRDefault="009B112A" w:rsidP="009C15CF">
      <w:pPr>
        <w:jc w:val="both"/>
        <w:rPr>
          <w:lang w:val="nl-BE"/>
        </w:rPr>
      </w:pPr>
      <w:r w:rsidRPr="0069784D">
        <w:rPr>
          <w:lang w:val="nl-BE"/>
        </w:rPr>
        <w:t xml:space="preserve">De wetgever spreekt de ambitie uit om de leeftijd van de seksuele meerderjarigheid op een precieze manier vast te leggen. De leeftijd van </w:t>
      </w:r>
      <w:r w:rsidRPr="0069784D">
        <w:rPr>
          <w:b/>
          <w:bCs/>
          <w:lang w:val="nl-BE"/>
        </w:rPr>
        <w:t>16 jaar</w:t>
      </w:r>
      <w:r w:rsidRPr="0069784D">
        <w:rPr>
          <w:lang w:val="nl-BE"/>
        </w:rPr>
        <w:t xml:space="preserve"> wordt hiervoor </w:t>
      </w:r>
      <w:r w:rsidR="003A5DD8">
        <w:rPr>
          <w:lang w:val="nl-BE"/>
        </w:rPr>
        <w:t>weerhouden</w:t>
      </w:r>
      <w:r w:rsidRPr="0069784D">
        <w:rPr>
          <w:lang w:val="nl-BE"/>
        </w:rPr>
        <w:t xml:space="preserve">, </w:t>
      </w:r>
      <w:r w:rsidR="003A5DD8" w:rsidRPr="00485B7D">
        <w:rPr>
          <w:lang w:val="nl-BE"/>
        </w:rPr>
        <w:t>maar</w:t>
      </w:r>
      <w:r w:rsidR="003A5DD8" w:rsidRPr="0069784D">
        <w:rPr>
          <w:lang w:val="nl-BE"/>
        </w:rPr>
        <w:t xml:space="preserve"> </w:t>
      </w:r>
      <w:r w:rsidRPr="0069784D">
        <w:rPr>
          <w:lang w:val="nl-BE"/>
        </w:rPr>
        <w:t xml:space="preserve">een aantal </w:t>
      </w:r>
      <w:r w:rsidRPr="0069784D">
        <w:rPr>
          <w:b/>
          <w:bCs/>
          <w:lang w:val="nl-BE"/>
        </w:rPr>
        <w:t>corrigerende elementen</w:t>
      </w:r>
      <w:r w:rsidRPr="0069784D">
        <w:rPr>
          <w:lang w:val="nl-BE"/>
        </w:rPr>
        <w:t xml:space="preserve"> </w:t>
      </w:r>
      <w:r w:rsidR="003A5DD8" w:rsidRPr="00485B7D">
        <w:rPr>
          <w:lang w:val="nl-BE"/>
        </w:rPr>
        <w:t>wordt i</w:t>
      </w:r>
      <w:r w:rsidR="003A5DD8">
        <w:rPr>
          <w:lang w:val="nl-BE"/>
        </w:rPr>
        <w:t>ngevoerd</w:t>
      </w:r>
      <w:r w:rsidR="003A5DD8" w:rsidRPr="0069784D">
        <w:rPr>
          <w:lang w:val="nl-BE"/>
        </w:rPr>
        <w:t xml:space="preserve"> </w:t>
      </w:r>
      <w:r w:rsidRPr="0069784D">
        <w:rPr>
          <w:lang w:val="nl-BE"/>
        </w:rPr>
        <w:t>om een correct evenwicht te vinden tussen de seksuele autonomie e</w:t>
      </w:r>
      <w:r w:rsidR="00264412" w:rsidRPr="0069784D">
        <w:rPr>
          <w:lang w:val="nl-BE"/>
        </w:rPr>
        <w:t>n</w:t>
      </w:r>
      <w:r w:rsidRPr="0069784D">
        <w:rPr>
          <w:lang w:val="nl-BE"/>
        </w:rPr>
        <w:t xml:space="preserve"> de bescherming van minderjarigen. </w:t>
      </w:r>
    </w:p>
    <w:p w14:paraId="7ACB0261" w14:textId="6A24842F" w:rsidR="009B112A" w:rsidRPr="0069784D" w:rsidRDefault="009B112A" w:rsidP="009C15CF">
      <w:pPr>
        <w:jc w:val="both"/>
        <w:rPr>
          <w:lang w:val="nl-BE"/>
        </w:rPr>
      </w:pPr>
      <w:r w:rsidRPr="0069784D">
        <w:rPr>
          <w:lang w:val="nl-BE"/>
        </w:rPr>
        <w:t>Voor het overige wordt verwezen naar de analyse van artikel 417/6.</w:t>
      </w:r>
    </w:p>
    <w:p w14:paraId="58ED1B22" w14:textId="77777777" w:rsidR="00C200F7" w:rsidRPr="0069784D" w:rsidRDefault="00C200F7" w:rsidP="009C15CF">
      <w:pPr>
        <w:jc w:val="both"/>
        <w:rPr>
          <w:lang w:val="nl-BE"/>
        </w:rPr>
      </w:pPr>
    </w:p>
    <w:p w14:paraId="592735F4" w14:textId="5CAD46AC" w:rsidR="009B112A" w:rsidRPr="0069784D" w:rsidRDefault="009B112A" w:rsidP="009C15CF">
      <w:pPr>
        <w:pStyle w:val="ListParagraph"/>
        <w:numPr>
          <w:ilvl w:val="0"/>
          <w:numId w:val="20"/>
        </w:numPr>
        <w:jc w:val="both"/>
        <w:rPr>
          <w:b/>
          <w:sz w:val="32"/>
          <w:szCs w:val="32"/>
          <w:lang w:val="nl-BE"/>
        </w:rPr>
      </w:pPr>
      <w:r w:rsidRPr="0069784D">
        <w:rPr>
          <w:b/>
          <w:sz w:val="32"/>
          <w:szCs w:val="32"/>
          <w:lang w:val="nl-BE"/>
        </w:rPr>
        <w:t>Basisinbreuken</w:t>
      </w:r>
    </w:p>
    <w:p w14:paraId="74B72058" w14:textId="77777777" w:rsidR="00C200F7" w:rsidRPr="0069784D" w:rsidRDefault="00C200F7" w:rsidP="009C15CF">
      <w:pPr>
        <w:jc w:val="both"/>
        <w:rPr>
          <w:sz w:val="20"/>
          <w:szCs w:val="20"/>
          <w:lang w:val="nl-BE"/>
        </w:rPr>
      </w:pPr>
    </w:p>
    <w:p w14:paraId="504DAF13" w14:textId="30FFADB2" w:rsidR="009B112A" w:rsidRPr="0069784D" w:rsidRDefault="00416908" w:rsidP="009C15CF">
      <w:pPr>
        <w:jc w:val="both"/>
        <w:rPr>
          <w:sz w:val="28"/>
          <w:szCs w:val="28"/>
          <w:lang w:val="nl-BE"/>
        </w:rPr>
      </w:pPr>
      <w:r>
        <w:rPr>
          <w:sz w:val="28"/>
          <w:szCs w:val="28"/>
          <w:lang w:val="nl-BE"/>
        </w:rPr>
        <w:t>4</w:t>
      </w:r>
      <w:r w:rsidR="00C200F7" w:rsidRPr="0069784D">
        <w:rPr>
          <w:sz w:val="28"/>
          <w:szCs w:val="28"/>
          <w:lang w:val="nl-BE"/>
        </w:rPr>
        <w:t xml:space="preserve">.1. </w:t>
      </w:r>
      <w:r w:rsidR="00EE0684" w:rsidRPr="0069784D">
        <w:rPr>
          <w:sz w:val="28"/>
          <w:szCs w:val="28"/>
          <w:lang w:val="nl-BE"/>
        </w:rPr>
        <w:t>Aantasting van</w:t>
      </w:r>
      <w:r w:rsidR="009B112A" w:rsidRPr="0069784D">
        <w:rPr>
          <w:sz w:val="28"/>
          <w:szCs w:val="28"/>
          <w:lang w:val="nl-BE"/>
        </w:rPr>
        <w:t xml:space="preserve"> de seksuele integriteit</w:t>
      </w:r>
    </w:p>
    <w:p w14:paraId="3E0B19E1" w14:textId="77777777" w:rsidR="00D34618" w:rsidRPr="0069784D" w:rsidRDefault="00D34618" w:rsidP="009C15CF">
      <w:pPr>
        <w:jc w:val="both"/>
        <w:rPr>
          <w:lang w:val="nl-BE"/>
        </w:rPr>
      </w:pPr>
    </w:p>
    <w:p w14:paraId="4F425926" w14:textId="4BC38F4D" w:rsidR="009B112A" w:rsidRPr="0069784D" w:rsidRDefault="009B112A" w:rsidP="009C15CF">
      <w:pPr>
        <w:jc w:val="both"/>
        <w:rPr>
          <w:lang w:val="nl-BE"/>
        </w:rPr>
      </w:pPr>
      <w:r w:rsidRPr="0069784D">
        <w:rPr>
          <w:lang w:val="nl-BE"/>
        </w:rPr>
        <w:t>De wetgever schrapt het begrip ‘aan</w:t>
      </w:r>
      <w:r w:rsidR="0065527A" w:rsidRPr="0069784D">
        <w:rPr>
          <w:lang w:val="nl-BE"/>
        </w:rPr>
        <w:t>randing</w:t>
      </w:r>
      <w:r w:rsidRPr="0069784D">
        <w:rPr>
          <w:lang w:val="nl-BE"/>
        </w:rPr>
        <w:t xml:space="preserve"> van de eerbaarheid’ omdat dit verwijst naar het collectief bewustzijn. </w:t>
      </w:r>
    </w:p>
    <w:p w14:paraId="3F62DA33" w14:textId="436CAC0F" w:rsidR="009B112A" w:rsidRPr="0069784D" w:rsidRDefault="009B112A" w:rsidP="009C15CF">
      <w:pPr>
        <w:jc w:val="both"/>
        <w:rPr>
          <w:lang w:val="nl-BE"/>
        </w:rPr>
      </w:pPr>
      <w:r w:rsidRPr="0069784D">
        <w:rPr>
          <w:lang w:val="nl-BE"/>
        </w:rPr>
        <w:t xml:space="preserve">De aantasting van de seksuele integriteit is dus voortaan </w:t>
      </w:r>
      <w:r w:rsidR="00EE0684" w:rsidRPr="0069784D">
        <w:rPr>
          <w:lang w:val="nl-BE"/>
        </w:rPr>
        <w:t>wat</w:t>
      </w:r>
      <w:r w:rsidRPr="0069784D">
        <w:rPr>
          <w:lang w:val="nl-BE"/>
        </w:rPr>
        <w:t xml:space="preserve"> een redelijk persoon als een aantasting ervaart en waarmee </w:t>
      </w:r>
      <w:r w:rsidR="003A5DD8">
        <w:rPr>
          <w:lang w:val="nl-BE"/>
        </w:rPr>
        <w:t>zij niet instemt</w:t>
      </w:r>
      <w:r w:rsidRPr="0069784D">
        <w:rPr>
          <w:lang w:val="nl-BE"/>
        </w:rPr>
        <w:t>. Deze verwijzing naar wat een redelijk persoon ervaart, is ook aanwezig in de zienswijze van de wetgever in verband met het misdrijf ‘voyeurisme’ en het seksuele karakter van een penetratie bij een verkrachting.</w:t>
      </w:r>
    </w:p>
    <w:p w14:paraId="4E59B6BC" w14:textId="1CE95EB6" w:rsidR="009B112A" w:rsidRPr="0069784D" w:rsidRDefault="009B112A" w:rsidP="009C15CF">
      <w:pPr>
        <w:jc w:val="both"/>
        <w:rPr>
          <w:lang w:val="nl-BE"/>
        </w:rPr>
      </w:pPr>
      <w:r w:rsidRPr="0069784D">
        <w:rPr>
          <w:lang w:val="nl-BE"/>
        </w:rPr>
        <w:t xml:space="preserve">Niettemin heeft de wetgever duidelijk de intentie om de vroegere </w:t>
      </w:r>
      <w:r w:rsidR="0065527A" w:rsidRPr="0069784D">
        <w:rPr>
          <w:lang w:val="nl-BE"/>
        </w:rPr>
        <w:t>‘</w:t>
      </w:r>
      <w:r w:rsidRPr="0069784D">
        <w:rPr>
          <w:lang w:val="nl-BE"/>
        </w:rPr>
        <w:t>aa</w:t>
      </w:r>
      <w:r w:rsidR="0065527A" w:rsidRPr="0069784D">
        <w:rPr>
          <w:lang w:val="nl-BE"/>
        </w:rPr>
        <w:t>nranding</w:t>
      </w:r>
      <w:r w:rsidRPr="0069784D">
        <w:rPr>
          <w:lang w:val="nl-BE"/>
        </w:rPr>
        <w:t xml:space="preserve"> van de eerbaarheid</w:t>
      </w:r>
      <w:r w:rsidR="0065527A" w:rsidRPr="0069784D">
        <w:rPr>
          <w:lang w:val="nl-BE"/>
        </w:rPr>
        <w:t>’</w:t>
      </w:r>
      <w:r w:rsidRPr="0069784D">
        <w:rPr>
          <w:lang w:val="nl-BE"/>
        </w:rPr>
        <w:t xml:space="preserve"> </w:t>
      </w:r>
      <w:r w:rsidR="003A5DD8" w:rsidRPr="006D2CF9">
        <w:rPr>
          <w:lang w:val="nl-BE"/>
        </w:rPr>
        <w:t>te beschouwen</w:t>
      </w:r>
      <w:r w:rsidR="001B1C24">
        <w:rPr>
          <w:lang w:val="nl-BE"/>
        </w:rPr>
        <w:t xml:space="preserve"> </w:t>
      </w:r>
      <w:r w:rsidR="003A5DD8" w:rsidRPr="006D2CF9">
        <w:rPr>
          <w:lang w:val="nl-BE"/>
        </w:rPr>
        <w:t>als</w:t>
      </w:r>
      <w:r w:rsidR="003A5DD8" w:rsidRPr="0069784D">
        <w:rPr>
          <w:lang w:val="nl-BE"/>
        </w:rPr>
        <w:t xml:space="preserve"> </w:t>
      </w:r>
      <w:r w:rsidRPr="0069784D">
        <w:rPr>
          <w:lang w:val="nl-BE"/>
        </w:rPr>
        <w:t>hetze</w:t>
      </w:r>
      <w:r w:rsidR="003A5DD8">
        <w:rPr>
          <w:lang w:val="nl-BE"/>
        </w:rPr>
        <w:t>lfde strafrechtelijk vergrijp</w:t>
      </w:r>
      <w:r w:rsidRPr="0069784D">
        <w:rPr>
          <w:lang w:val="nl-BE"/>
        </w:rPr>
        <w:t xml:space="preserve"> </w:t>
      </w:r>
      <w:r w:rsidR="00654E27" w:rsidRPr="0069784D">
        <w:rPr>
          <w:lang w:val="nl-BE"/>
        </w:rPr>
        <w:t>als</w:t>
      </w:r>
      <w:r w:rsidRPr="0069784D">
        <w:rPr>
          <w:lang w:val="nl-BE"/>
        </w:rPr>
        <w:t xml:space="preserve"> de</w:t>
      </w:r>
      <w:r w:rsidR="00654E27" w:rsidRPr="0069784D">
        <w:rPr>
          <w:lang w:val="nl-BE"/>
        </w:rPr>
        <w:t xml:space="preserve"> voortaan gehanteerde</w:t>
      </w:r>
      <w:r w:rsidRPr="0069784D">
        <w:rPr>
          <w:lang w:val="nl-BE"/>
        </w:rPr>
        <w:t xml:space="preserve"> </w:t>
      </w:r>
      <w:r w:rsidR="00654E27" w:rsidRPr="0069784D">
        <w:rPr>
          <w:lang w:val="nl-BE"/>
        </w:rPr>
        <w:t>‘</w:t>
      </w:r>
      <w:r w:rsidRPr="0069784D">
        <w:rPr>
          <w:lang w:val="nl-BE"/>
        </w:rPr>
        <w:t>aantasting van de seksuele integriteit</w:t>
      </w:r>
      <w:r w:rsidR="00654E27" w:rsidRPr="0069784D">
        <w:rPr>
          <w:lang w:val="nl-BE"/>
        </w:rPr>
        <w:t>’</w:t>
      </w:r>
      <w:r w:rsidRPr="0069784D">
        <w:rPr>
          <w:lang w:val="nl-BE"/>
        </w:rPr>
        <w:t xml:space="preserve">. </w:t>
      </w:r>
    </w:p>
    <w:p w14:paraId="62C42CD3" w14:textId="305DDC9F" w:rsidR="009B112A" w:rsidRPr="0069784D" w:rsidRDefault="009B112A" w:rsidP="009C15CF">
      <w:pPr>
        <w:jc w:val="both"/>
        <w:rPr>
          <w:lang w:val="nl-BE"/>
        </w:rPr>
      </w:pPr>
      <w:r w:rsidRPr="0069784D">
        <w:rPr>
          <w:lang w:val="nl-BE"/>
        </w:rPr>
        <w:t xml:space="preserve">De volgorde waarin de seksuele misdrijven opgesomd worden </w:t>
      </w:r>
      <w:r w:rsidR="001B1C24">
        <w:rPr>
          <w:lang w:val="nl-BE"/>
        </w:rPr>
        <w:t>heeft als</w:t>
      </w:r>
      <w:r w:rsidR="001B1C24" w:rsidRPr="0069784D">
        <w:rPr>
          <w:lang w:val="nl-BE"/>
        </w:rPr>
        <w:t xml:space="preserve"> </w:t>
      </w:r>
      <w:r w:rsidRPr="0069784D">
        <w:rPr>
          <w:lang w:val="nl-BE"/>
        </w:rPr>
        <w:t xml:space="preserve">betekenis </w:t>
      </w:r>
      <w:r w:rsidR="001B1C24" w:rsidRPr="003350A5">
        <w:rPr>
          <w:lang w:val="nl-BE"/>
        </w:rPr>
        <w:t>dat</w:t>
      </w:r>
      <w:r w:rsidRPr="0069784D">
        <w:rPr>
          <w:lang w:val="nl-BE"/>
        </w:rPr>
        <w:t xml:space="preserve"> de aantasting van de seksuele integriteit beschouwd kan worden als een </w:t>
      </w:r>
      <w:r w:rsidR="00EE0684" w:rsidRPr="0069784D">
        <w:rPr>
          <w:lang w:val="nl-BE"/>
        </w:rPr>
        <w:t>overkoepelende</w:t>
      </w:r>
      <w:r w:rsidRPr="0069784D">
        <w:rPr>
          <w:lang w:val="nl-BE"/>
        </w:rPr>
        <w:t xml:space="preserve"> </w:t>
      </w:r>
      <w:r w:rsidR="00C200F7" w:rsidRPr="0069784D">
        <w:rPr>
          <w:lang w:val="nl-BE"/>
        </w:rPr>
        <w:t>rest</w:t>
      </w:r>
      <w:r w:rsidRPr="0069784D">
        <w:rPr>
          <w:lang w:val="nl-BE"/>
        </w:rPr>
        <w:t xml:space="preserve">categorie. </w:t>
      </w:r>
    </w:p>
    <w:p w14:paraId="7EAA3EEC" w14:textId="77777777" w:rsidR="00C200F7" w:rsidRPr="0069784D" w:rsidRDefault="00C200F7" w:rsidP="009C15CF">
      <w:pPr>
        <w:jc w:val="both"/>
        <w:rPr>
          <w:lang w:val="nl-BE"/>
        </w:rPr>
      </w:pPr>
    </w:p>
    <w:p w14:paraId="1AF89563" w14:textId="24EBC8A2" w:rsidR="009B112A" w:rsidRPr="0069784D" w:rsidRDefault="00416908" w:rsidP="009C15CF">
      <w:pPr>
        <w:jc w:val="both"/>
        <w:rPr>
          <w:sz w:val="28"/>
          <w:szCs w:val="28"/>
          <w:lang w:val="nl-BE"/>
        </w:rPr>
      </w:pPr>
      <w:r>
        <w:rPr>
          <w:sz w:val="28"/>
          <w:szCs w:val="28"/>
          <w:lang w:val="nl-BE"/>
        </w:rPr>
        <w:t>4</w:t>
      </w:r>
      <w:r w:rsidR="00C200F7" w:rsidRPr="0069784D">
        <w:rPr>
          <w:sz w:val="28"/>
          <w:szCs w:val="28"/>
          <w:lang w:val="nl-BE"/>
        </w:rPr>
        <w:t xml:space="preserve">.2. </w:t>
      </w:r>
      <w:r w:rsidR="009B112A" w:rsidRPr="0069784D">
        <w:rPr>
          <w:sz w:val="28"/>
          <w:szCs w:val="28"/>
          <w:lang w:val="nl-BE"/>
        </w:rPr>
        <w:t xml:space="preserve">Voyeurisme en </w:t>
      </w:r>
      <w:r w:rsidR="001B1C24" w:rsidRPr="001B1C24">
        <w:rPr>
          <w:sz w:val="28"/>
          <w:szCs w:val="28"/>
          <w:lang w:val="nl-BE"/>
        </w:rPr>
        <w:t>niet-consensuele</w:t>
      </w:r>
      <w:r w:rsidR="001B1C24" w:rsidRPr="0069784D">
        <w:rPr>
          <w:sz w:val="28"/>
          <w:szCs w:val="28"/>
          <w:lang w:val="nl-BE"/>
        </w:rPr>
        <w:t xml:space="preserve"> </w:t>
      </w:r>
      <w:r w:rsidR="009B112A" w:rsidRPr="0069784D">
        <w:rPr>
          <w:sz w:val="28"/>
          <w:szCs w:val="28"/>
          <w:lang w:val="nl-BE"/>
        </w:rPr>
        <w:t>verspreid</w:t>
      </w:r>
      <w:r w:rsidR="001B1C24">
        <w:rPr>
          <w:sz w:val="28"/>
          <w:szCs w:val="28"/>
          <w:lang w:val="nl-BE"/>
        </w:rPr>
        <w:t>ing van seksueel getinte inhoud</w:t>
      </w:r>
    </w:p>
    <w:p w14:paraId="71FEE19C" w14:textId="77777777" w:rsidR="00D34618" w:rsidRPr="0069784D" w:rsidRDefault="00D34618" w:rsidP="009C15CF">
      <w:pPr>
        <w:jc w:val="both"/>
        <w:rPr>
          <w:lang w:val="nl-BE"/>
        </w:rPr>
      </w:pPr>
    </w:p>
    <w:p w14:paraId="4D87BEAC" w14:textId="4AEC9AE3" w:rsidR="009B112A" w:rsidRPr="0069784D" w:rsidRDefault="009B112A" w:rsidP="009C15CF">
      <w:pPr>
        <w:jc w:val="both"/>
        <w:rPr>
          <w:lang w:val="nl-BE"/>
        </w:rPr>
      </w:pPr>
      <w:r w:rsidRPr="0069784D">
        <w:rPr>
          <w:lang w:val="nl-BE"/>
        </w:rPr>
        <w:t xml:space="preserve">De wetgever neemt </w:t>
      </w:r>
      <w:r w:rsidRPr="0069784D">
        <w:rPr>
          <w:i/>
          <w:iCs/>
          <w:lang w:val="nl-BE"/>
        </w:rPr>
        <w:t>grosso modo</w:t>
      </w:r>
      <w:r w:rsidRPr="0069784D">
        <w:rPr>
          <w:lang w:val="nl-BE"/>
        </w:rPr>
        <w:t xml:space="preserve"> de vroegere bepalingen over.</w:t>
      </w:r>
    </w:p>
    <w:p w14:paraId="6BAA9FCD" w14:textId="26C50D80" w:rsidR="009B112A" w:rsidRPr="0069784D" w:rsidRDefault="009B112A" w:rsidP="009C15CF">
      <w:pPr>
        <w:jc w:val="both"/>
        <w:rPr>
          <w:lang w:val="nl-BE"/>
        </w:rPr>
      </w:pPr>
      <w:r w:rsidRPr="0069784D">
        <w:rPr>
          <w:lang w:val="nl-BE"/>
        </w:rPr>
        <w:t>Er wordt een definitie van ‘</w:t>
      </w:r>
      <w:r w:rsidR="001B1C24" w:rsidRPr="00F13C0B">
        <w:rPr>
          <w:lang w:val="nl-BE"/>
        </w:rPr>
        <w:t>ontblote p</w:t>
      </w:r>
      <w:r w:rsidR="001B1C24">
        <w:rPr>
          <w:lang w:val="nl-BE"/>
        </w:rPr>
        <w:t xml:space="preserve">ersoon’ </w:t>
      </w:r>
      <w:r w:rsidRPr="0069784D">
        <w:rPr>
          <w:lang w:val="nl-BE"/>
        </w:rPr>
        <w:t xml:space="preserve">toegevoegd.  </w:t>
      </w:r>
    </w:p>
    <w:p w14:paraId="0BC17B14" w14:textId="0302E21C" w:rsidR="009B112A" w:rsidRPr="0069784D" w:rsidRDefault="009B112A" w:rsidP="009C15CF">
      <w:pPr>
        <w:jc w:val="both"/>
        <w:rPr>
          <w:lang w:val="nl-BE"/>
        </w:rPr>
      </w:pPr>
      <w:r w:rsidRPr="0069784D">
        <w:rPr>
          <w:lang w:val="nl-BE"/>
        </w:rPr>
        <w:t xml:space="preserve">Deze bepalingen dienen samen gelezen te worden met deze betreffende </w:t>
      </w:r>
      <w:r w:rsidR="00654E27" w:rsidRPr="0069784D">
        <w:rPr>
          <w:lang w:val="nl-BE"/>
        </w:rPr>
        <w:t>‘</w:t>
      </w:r>
      <w:r w:rsidRPr="0069784D">
        <w:rPr>
          <w:lang w:val="nl-BE"/>
        </w:rPr>
        <w:t>beelden van seksueel misbruik van minderjarigen</w:t>
      </w:r>
      <w:r w:rsidR="00654E27" w:rsidRPr="0069784D">
        <w:rPr>
          <w:lang w:val="nl-BE"/>
        </w:rPr>
        <w:t>’</w:t>
      </w:r>
      <w:r w:rsidRPr="0069784D">
        <w:rPr>
          <w:lang w:val="nl-BE"/>
        </w:rPr>
        <w:t xml:space="preserve"> uit de artikelen 417/43 tot 417/49.</w:t>
      </w:r>
    </w:p>
    <w:p w14:paraId="1E310FC1" w14:textId="2ABD2566" w:rsidR="00C200F7" w:rsidRDefault="00C200F7" w:rsidP="009C15CF">
      <w:pPr>
        <w:jc w:val="both"/>
        <w:rPr>
          <w:lang w:val="nl-BE"/>
        </w:rPr>
      </w:pPr>
    </w:p>
    <w:p w14:paraId="35509159" w14:textId="77777777" w:rsidR="003C2CA9" w:rsidRPr="0069784D" w:rsidRDefault="003C2CA9" w:rsidP="009C15CF">
      <w:pPr>
        <w:jc w:val="both"/>
        <w:rPr>
          <w:lang w:val="nl-BE"/>
        </w:rPr>
      </w:pPr>
    </w:p>
    <w:p w14:paraId="189B6EA2" w14:textId="3DC8128A" w:rsidR="009B112A" w:rsidRPr="0069784D" w:rsidRDefault="00416908" w:rsidP="009C15CF">
      <w:pPr>
        <w:jc w:val="both"/>
        <w:rPr>
          <w:sz w:val="28"/>
          <w:szCs w:val="28"/>
          <w:lang w:val="nl-BE"/>
        </w:rPr>
      </w:pPr>
      <w:r>
        <w:rPr>
          <w:sz w:val="28"/>
          <w:szCs w:val="28"/>
          <w:lang w:val="nl-BE"/>
        </w:rPr>
        <w:lastRenderedPageBreak/>
        <w:t>4</w:t>
      </w:r>
      <w:r w:rsidR="00C200F7" w:rsidRPr="0069784D">
        <w:rPr>
          <w:sz w:val="28"/>
          <w:szCs w:val="28"/>
          <w:lang w:val="nl-BE"/>
        </w:rPr>
        <w:t xml:space="preserve">.3. </w:t>
      </w:r>
      <w:r w:rsidR="009B112A" w:rsidRPr="0069784D">
        <w:rPr>
          <w:sz w:val="28"/>
          <w:szCs w:val="28"/>
          <w:lang w:val="nl-BE"/>
        </w:rPr>
        <w:t>Verkrachting</w:t>
      </w:r>
    </w:p>
    <w:p w14:paraId="686B3CEF" w14:textId="77777777" w:rsidR="00D34618" w:rsidRPr="0069784D" w:rsidRDefault="00D34618" w:rsidP="009C15CF">
      <w:pPr>
        <w:jc w:val="both"/>
        <w:rPr>
          <w:lang w:val="nl-BE"/>
        </w:rPr>
      </w:pPr>
    </w:p>
    <w:p w14:paraId="1DEFF174" w14:textId="5A221422" w:rsidR="009B112A" w:rsidRPr="0069784D" w:rsidRDefault="009B112A" w:rsidP="009C15CF">
      <w:pPr>
        <w:jc w:val="both"/>
        <w:rPr>
          <w:i/>
          <w:iCs/>
          <w:lang w:val="nl-BE"/>
        </w:rPr>
      </w:pPr>
      <w:r w:rsidRPr="0069784D">
        <w:rPr>
          <w:lang w:val="nl-BE"/>
        </w:rPr>
        <w:t xml:space="preserve">De wetgever definieert ‘verkrachting’ voortaan als volgt: </w:t>
      </w:r>
      <w:r w:rsidRPr="0069784D">
        <w:rPr>
          <w:i/>
          <w:iCs/>
          <w:lang w:val="nl-BE"/>
        </w:rPr>
        <w:t>“Verkrachting is elke gestelde daad die bestaat of mede bestaat uit een seksuele penetratie van welke aard en met welk middel ook, gepleegd op een persoon of met behulp van een persoon die daar niet in toestemt.”</w:t>
      </w:r>
    </w:p>
    <w:p w14:paraId="190EB640" w14:textId="01FF346F" w:rsidR="009B112A" w:rsidRPr="0069784D" w:rsidRDefault="009B112A" w:rsidP="009C15CF">
      <w:pPr>
        <w:jc w:val="both"/>
        <w:rPr>
          <w:lang w:val="nl-BE"/>
        </w:rPr>
      </w:pPr>
      <w:r w:rsidRPr="0069784D">
        <w:rPr>
          <w:lang w:val="nl-BE"/>
        </w:rPr>
        <w:t xml:space="preserve">Voor het overige wordt verwezen naar de gedetailleerde analyse van deze misdrijven. </w:t>
      </w:r>
    </w:p>
    <w:p w14:paraId="7A348BD1" w14:textId="77777777" w:rsidR="00F050A4" w:rsidRPr="0069784D" w:rsidRDefault="00F050A4" w:rsidP="009C15CF">
      <w:pPr>
        <w:jc w:val="both"/>
        <w:rPr>
          <w:lang w:val="nl-BE"/>
        </w:rPr>
      </w:pPr>
    </w:p>
    <w:p w14:paraId="6472772F" w14:textId="46AA2624" w:rsidR="009B112A" w:rsidRPr="00416908" w:rsidRDefault="009B112A" w:rsidP="009C15CF">
      <w:pPr>
        <w:pStyle w:val="ListParagraph"/>
        <w:numPr>
          <w:ilvl w:val="0"/>
          <w:numId w:val="20"/>
        </w:numPr>
        <w:jc w:val="both"/>
        <w:rPr>
          <w:b/>
          <w:sz w:val="32"/>
          <w:szCs w:val="32"/>
          <w:lang w:val="nl-BE"/>
        </w:rPr>
      </w:pPr>
      <w:r w:rsidRPr="00416908">
        <w:rPr>
          <w:b/>
          <w:sz w:val="32"/>
          <w:szCs w:val="32"/>
          <w:lang w:val="nl-BE"/>
        </w:rPr>
        <w:t>Misbruik van prostitutie</w:t>
      </w:r>
    </w:p>
    <w:p w14:paraId="21548082" w14:textId="77777777" w:rsidR="00D34618" w:rsidRPr="0069784D" w:rsidRDefault="00D34618" w:rsidP="009C15CF">
      <w:pPr>
        <w:jc w:val="both"/>
        <w:rPr>
          <w:lang w:val="nl-BE"/>
        </w:rPr>
      </w:pPr>
    </w:p>
    <w:p w14:paraId="16534049" w14:textId="4BA4CCEA" w:rsidR="009B112A" w:rsidRPr="0069784D" w:rsidRDefault="00293020" w:rsidP="009C15CF">
      <w:pPr>
        <w:jc w:val="both"/>
        <w:rPr>
          <w:lang w:val="nl-BE"/>
        </w:rPr>
      </w:pPr>
      <w:r w:rsidRPr="0069784D">
        <w:rPr>
          <w:lang w:val="nl-BE"/>
        </w:rPr>
        <w:t xml:space="preserve">De wetgever streefde ernaar de misdrijven </w:t>
      </w:r>
      <w:r w:rsidR="0065527A" w:rsidRPr="0069784D">
        <w:rPr>
          <w:lang w:val="nl-BE"/>
        </w:rPr>
        <w:t>‘</w:t>
      </w:r>
      <w:r w:rsidRPr="0069784D">
        <w:rPr>
          <w:lang w:val="nl-BE"/>
        </w:rPr>
        <w:t>pooierschap</w:t>
      </w:r>
      <w:r w:rsidR="0065527A" w:rsidRPr="0069784D">
        <w:rPr>
          <w:lang w:val="nl-BE"/>
        </w:rPr>
        <w:t>’</w:t>
      </w:r>
      <w:r w:rsidRPr="0069784D">
        <w:rPr>
          <w:lang w:val="nl-BE"/>
        </w:rPr>
        <w:t xml:space="preserve"> en </w:t>
      </w:r>
      <w:r w:rsidR="0065527A" w:rsidRPr="0069784D">
        <w:rPr>
          <w:lang w:val="nl-BE"/>
        </w:rPr>
        <w:t>‘</w:t>
      </w:r>
      <w:r w:rsidRPr="0069784D">
        <w:rPr>
          <w:lang w:val="nl-BE"/>
        </w:rPr>
        <w:t>mensenhandel</w:t>
      </w:r>
      <w:r w:rsidR="0065527A" w:rsidRPr="0069784D">
        <w:rPr>
          <w:lang w:val="nl-BE"/>
        </w:rPr>
        <w:t>’</w:t>
      </w:r>
      <w:r w:rsidRPr="0069784D">
        <w:rPr>
          <w:lang w:val="nl-BE"/>
        </w:rPr>
        <w:t xml:space="preserve"> van elkaar los te koppelen, vanuit de overweging dat het juridisch gezien niet correct is om ze op gelijke voet te zetten</w:t>
      </w:r>
      <w:r w:rsidRPr="0069784D">
        <w:rPr>
          <w:rStyle w:val="FootnoteReference"/>
          <w:lang w:val="nl-BE"/>
        </w:rPr>
        <w:footnoteReference w:customMarkFollows="1" w:id="2"/>
        <w:t>2</w:t>
      </w:r>
      <w:r w:rsidRPr="0069784D">
        <w:rPr>
          <w:lang w:val="nl-BE"/>
        </w:rPr>
        <w:t xml:space="preserve">. De bedoeling bestaat erin de sector van de sekswerkers gedeeltelijk uit het strafrecht te halen. In het nieuwe hoofdstuk </w:t>
      </w:r>
      <w:r w:rsidR="001B1C24" w:rsidRPr="003350A5">
        <w:rPr>
          <w:lang w:val="nl-BE"/>
        </w:rPr>
        <w:t>viseert</w:t>
      </w:r>
      <w:r w:rsidRPr="0069784D">
        <w:rPr>
          <w:lang w:val="nl-BE"/>
        </w:rPr>
        <w:t xml:space="preserve"> de wetgever </w:t>
      </w:r>
      <w:r w:rsidR="0065527A" w:rsidRPr="0069784D">
        <w:rPr>
          <w:lang w:val="nl-BE"/>
        </w:rPr>
        <w:t xml:space="preserve">dan ook </w:t>
      </w:r>
      <w:r w:rsidRPr="0069784D">
        <w:rPr>
          <w:lang w:val="nl-BE"/>
        </w:rPr>
        <w:t xml:space="preserve">het </w:t>
      </w:r>
      <w:r w:rsidRPr="0069784D">
        <w:rPr>
          <w:b/>
          <w:bCs/>
          <w:lang w:val="nl-BE"/>
        </w:rPr>
        <w:t>misbruik van prostitutie</w:t>
      </w:r>
      <w:r w:rsidRPr="0069784D">
        <w:rPr>
          <w:lang w:val="nl-BE"/>
        </w:rPr>
        <w:t>. De wetgever stelt verder dat een aantal bepalingen niet langer overeenstemt met de tijdsgeest en haalt bepaalde specifieke misdrijven uit de strafrechtelijke sfeer</w:t>
      </w:r>
      <w:r w:rsidRPr="0069784D">
        <w:rPr>
          <w:rStyle w:val="FootnoteReference"/>
          <w:lang w:val="nl-BE"/>
        </w:rPr>
        <w:footnoteReference w:customMarkFollows="1" w:id="3"/>
        <w:t>3</w:t>
      </w:r>
      <w:r w:rsidRPr="0069784D">
        <w:rPr>
          <w:lang w:val="nl-BE"/>
        </w:rPr>
        <w:t>.</w:t>
      </w:r>
    </w:p>
    <w:p w14:paraId="12D5EDD0" w14:textId="7337D96F" w:rsidR="009B112A" w:rsidRPr="0069784D" w:rsidRDefault="009B112A" w:rsidP="009C15CF">
      <w:pPr>
        <w:jc w:val="both"/>
        <w:rPr>
          <w:lang w:val="nl-BE"/>
        </w:rPr>
      </w:pPr>
      <w:r w:rsidRPr="0069784D">
        <w:rPr>
          <w:lang w:val="nl-BE"/>
        </w:rPr>
        <w:t>Voor het overige wordt verwezen naar de gedetailleerde analyse van deze misdrijven.</w:t>
      </w:r>
    </w:p>
    <w:p w14:paraId="409D66BE" w14:textId="77777777" w:rsidR="00293020" w:rsidRPr="0069784D" w:rsidRDefault="00293020" w:rsidP="009C15CF">
      <w:pPr>
        <w:jc w:val="both"/>
        <w:rPr>
          <w:lang w:val="nl-BE"/>
        </w:rPr>
      </w:pPr>
    </w:p>
    <w:p w14:paraId="34110E5E" w14:textId="7403FD6F" w:rsidR="009B112A" w:rsidRPr="0069784D" w:rsidRDefault="009B112A" w:rsidP="009C15CF">
      <w:pPr>
        <w:pStyle w:val="ListParagraph"/>
        <w:numPr>
          <w:ilvl w:val="0"/>
          <w:numId w:val="20"/>
        </w:numPr>
        <w:jc w:val="both"/>
        <w:rPr>
          <w:b/>
          <w:sz w:val="32"/>
          <w:szCs w:val="32"/>
          <w:lang w:val="nl-BE"/>
        </w:rPr>
      </w:pPr>
      <w:r w:rsidRPr="0069784D">
        <w:rPr>
          <w:b/>
          <w:sz w:val="32"/>
          <w:szCs w:val="32"/>
          <w:lang w:val="nl-BE"/>
        </w:rPr>
        <w:t xml:space="preserve">Verzwaring van </w:t>
      </w:r>
      <w:r w:rsidR="00654E27" w:rsidRPr="0069784D">
        <w:rPr>
          <w:b/>
          <w:sz w:val="32"/>
          <w:szCs w:val="32"/>
          <w:lang w:val="nl-BE"/>
        </w:rPr>
        <w:t>het strafstelsel</w:t>
      </w:r>
      <w:r w:rsidRPr="0069784D">
        <w:rPr>
          <w:b/>
          <w:sz w:val="32"/>
          <w:szCs w:val="32"/>
          <w:lang w:val="nl-BE"/>
        </w:rPr>
        <w:t xml:space="preserve"> en harmonisering van de verzwaarde misdrijven, en aanpassing van de wet betreffende de opschorting, het uitstel en de probatie</w:t>
      </w:r>
    </w:p>
    <w:p w14:paraId="4DD7DAC8" w14:textId="77777777" w:rsidR="00D34618" w:rsidRPr="0069784D" w:rsidRDefault="00D34618" w:rsidP="009C15CF">
      <w:pPr>
        <w:jc w:val="both"/>
        <w:rPr>
          <w:lang w:val="nl-BE"/>
        </w:rPr>
      </w:pPr>
    </w:p>
    <w:p w14:paraId="0D6102C5" w14:textId="012DB7E4" w:rsidR="009B112A" w:rsidRPr="0069784D" w:rsidRDefault="009B112A" w:rsidP="009C15CF">
      <w:pPr>
        <w:jc w:val="both"/>
        <w:rPr>
          <w:lang w:val="nl-BE"/>
        </w:rPr>
      </w:pPr>
      <w:r w:rsidRPr="0069784D">
        <w:rPr>
          <w:lang w:val="nl-BE"/>
        </w:rPr>
        <w:t>Het was oorspronkelijk de bedoeling het niveau van de vrijheidsstraffen te verhogen</w:t>
      </w:r>
      <w:r w:rsidR="00617728">
        <w:rPr>
          <w:lang w:val="nl-BE"/>
        </w:rPr>
        <w:t>,</w:t>
      </w:r>
      <w:r w:rsidRPr="0069784D">
        <w:rPr>
          <w:lang w:val="nl-BE"/>
        </w:rPr>
        <w:t xml:space="preserve"> </w:t>
      </w:r>
      <w:r w:rsidR="001B1C24" w:rsidRPr="00AA234C">
        <w:rPr>
          <w:lang w:val="nl-BE"/>
        </w:rPr>
        <w:t>het g</w:t>
      </w:r>
      <w:r w:rsidR="001B1C24">
        <w:rPr>
          <w:lang w:val="nl-BE"/>
        </w:rPr>
        <w:t>amma van</w:t>
      </w:r>
      <w:r w:rsidR="001B1C24" w:rsidRPr="0069784D">
        <w:rPr>
          <w:lang w:val="nl-BE"/>
        </w:rPr>
        <w:t xml:space="preserve"> </w:t>
      </w:r>
      <w:r w:rsidRPr="0069784D">
        <w:rPr>
          <w:lang w:val="nl-BE"/>
        </w:rPr>
        <w:t xml:space="preserve">mogelijke straffen uit te breiden en bepaalde straffen </w:t>
      </w:r>
      <w:r w:rsidRPr="0069784D">
        <w:rPr>
          <w:i/>
          <w:iCs/>
          <w:lang w:val="nl-BE"/>
        </w:rPr>
        <w:t>a priori</w:t>
      </w:r>
      <w:r w:rsidRPr="0069784D">
        <w:rPr>
          <w:lang w:val="nl-BE"/>
        </w:rPr>
        <w:t xml:space="preserve"> uit te sluiten (autonome werkstraf, autonome probatiestraf, elektronisch toezicht). </w:t>
      </w:r>
    </w:p>
    <w:p w14:paraId="5DB3F224" w14:textId="33BE8389" w:rsidR="009B112A" w:rsidRPr="0069784D" w:rsidRDefault="009B112A" w:rsidP="009C15CF">
      <w:pPr>
        <w:jc w:val="both"/>
        <w:rPr>
          <w:lang w:val="nl-BE"/>
        </w:rPr>
      </w:pPr>
      <w:r w:rsidRPr="0069784D">
        <w:rPr>
          <w:lang w:val="nl-BE"/>
        </w:rPr>
        <w:t>Het doel hiervan bestond erin te komen tot een accurate bestraffing</w:t>
      </w:r>
      <w:r w:rsidR="00293020" w:rsidRPr="0069784D">
        <w:rPr>
          <w:rStyle w:val="FootnoteReference"/>
          <w:lang w:val="nl-BE"/>
        </w:rPr>
        <w:footnoteReference w:customMarkFollows="1" w:id="4"/>
        <w:t>4</w:t>
      </w:r>
      <w:r w:rsidRPr="0069784D">
        <w:rPr>
          <w:lang w:val="nl-BE"/>
        </w:rPr>
        <w:t xml:space="preserve"> en om een gedifferentieerd strafrechtelijk en aan de situatie aangepast antwoord mogelijk te maken. </w:t>
      </w:r>
    </w:p>
    <w:p w14:paraId="5B5D4038" w14:textId="4EF518D6" w:rsidR="009B112A" w:rsidRPr="0069784D" w:rsidRDefault="009B112A" w:rsidP="009C15CF">
      <w:pPr>
        <w:jc w:val="both"/>
        <w:rPr>
          <w:lang w:val="nl-BE"/>
        </w:rPr>
      </w:pPr>
      <w:r w:rsidRPr="0069784D">
        <w:rPr>
          <w:lang w:val="nl-BE"/>
        </w:rPr>
        <w:t xml:space="preserve">Hoewel </w:t>
      </w:r>
      <w:r w:rsidRPr="0069784D">
        <w:rPr>
          <w:b/>
          <w:bCs/>
          <w:lang w:val="nl-BE"/>
        </w:rPr>
        <w:t>de strafmaat algemeen gesproken een niveau verhoogd werd</w:t>
      </w:r>
      <w:r w:rsidRPr="0069784D">
        <w:rPr>
          <w:lang w:val="nl-BE"/>
        </w:rPr>
        <w:t xml:space="preserve">, dient vastgesteld te worden dat de mogelijkheid om alternatieve straffen uit te spreken (behalve bij verkrachtingen van meerderjarigen) </w:t>
      </w:r>
      <w:r w:rsidR="001B1C24">
        <w:rPr>
          <w:lang w:val="nl-BE"/>
        </w:rPr>
        <w:t xml:space="preserve">nog </w:t>
      </w:r>
      <w:r w:rsidRPr="0069784D">
        <w:rPr>
          <w:lang w:val="nl-BE"/>
        </w:rPr>
        <w:t xml:space="preserve">beperkt blijft, zodat deze doelstelling niet </w:t>
      </w:r>
      <w:r w:rsidR="001B1C24">
        <w:rPr>
          <w:lang w:val="nl-BE"/>
        </w:rPr>
        <w:t>bereikt</w:t>
      </w:r>
      <w:r w:rsidRPr="0069784D">
        <w:rPr>
          <w:lang w:val="nl-BE"/>
        </w:rPr>
        <w:t xml:space="preserve"> werd en louter gesteld kan worden dat er globaal sprake is van een verzwaring van </w:t>
      </w:r>
      <w:r w:rsidR="00654E27" w:rsidRPr="0069784D">
        <w:rPr>
          <w:lang w:val="nl-BE"/>
        </w:rPr>
        <w:t>het strafstelsel</w:t>
      </w:r>
      <w:r w:rsidRPr="0069784D">
        <w:rPr>
          <w:lang w:val="nl-BE"/>
        </w:rPr>
        <w:t xml:space="preserve"> (zie tabel in het vademecum als bijlage). </w:t>
      </w:r>
    </w:p>
    <w:p w14:paraId="237588D3" w14:textId="2394952E" w:rsidR="009B112A" w:rsidRPr="0069784D" w:rsidRDefault="009B112A" w:rsidP="009C15CF">
      <w:pPr>
        <w:jc w:val="both"/>
        <w:rPr>
          <w:b/>
          <w:lang w:val="nl-BE"/>
        </w:rPr>
      </w:pPr>
      <w:r w:rsidRPr="0069784D">
        <w:rPr>
          <w:b/>
          <w:lang w:val="nl-BE"/>
        </w:rPr>
        <w:lastRenderedPageBreak/>
        <w:t xml:space="preserve">Niettemin werd de wet van 29 juni 1964 aangepast om ook bij een vroegere veroordeling een probatie-uitstel mogelijk te maken (artikel 114). </w:t>
      </w:r>
    </w:p>
    <w:p w14:paraId="6F0ED061" w14:textId="77777777" w:rsidR="009B112A" w:rsidRPr="0069784D" w:rsidRDefault="009B112A" w:rsidP="009C15CF">
      <w:pPr>
        <w:jc w:val="both"/>
        <w:rPr>
          <w:b/>
          <w:u w:val="single"/>
          <w:lang w:val="nl-BE"/>
        </w:rPr>
      </w:pPr>
      <w:r w:rsidRPr="0069784D">
        <w:rPr>
          <w:b/>
          <w:u w:val="single"/>
          <w:lang w:val="nl-BE"/>
        </w:rPr>
        <w:t>Deze wijziging overstijgt evenwel het kader van het seksueel strafrecht (zie gedetailleerde analyse verder in dit document)!</w:t>
      </w:r>
    </w:p>
    <w:p w14:paraId="265D0F41" w14:textId="7E08821A" w:rsidR="009B112A" w:rsidRPr="0069784D" w:rsidRDefault="009B112A" w:rsidP="009C15CF">
      <w:pPr>
        <w:jc w:val="both"/>
        <w:rPr>
          <w:lang w:val="nl-BE"/>
        </w:rPr>
      </w:pPr>
      <w:r w:rsidRPr="0069784D">
        <w:rPr>
          <w:lang w:val="nl-BE"/>
        </w:rPr>
        <w:t xml:space="preserve">In vergelijking met de werkzaamheden van de Commissie voor de Hervorming van het Strafrecht werd één en ander ‘teruggeschroefd’, aangezien het nieuwe seksueel strafrecht, dat </w:t>
      </w:r>
      <w:r w:rsidR="001B1C24">
        <w:rPr>
          <w:lang w:val="nl-BE"/>
        </w:rPr>
        <w:t>voor</w:t>
      </w:r>
      <w:r w:rsidRPr="0069784D">
        <w:rPr>
          <w:lang w:val="nl-BE"/>
        </w:rPr>
        <w:t xml:space="preserve"> de rest van het toekomstige nieuwe Strafwetboek gestemd werd, in de huidige versie van het Strafwetboek opgenomen moet worden. </w:t>
      </w:r>
    </w:p>
    <w:p w14:paraId="793287BC" w14:textId="0B1B91FB" w:rsidR="00293020" w:rsidRPr="0069784D" w:rsidRDefault="00293020" w:rsidP="009C15CF">
      <w:pPr>
        <w:jc w:val="both"/>
        <w:rPr>
          <w:lang w:val="nl-BE"/>
        </w:rPr>
      </w:pPr>
      <w:r w:rsidRPr="0069784D">
        <w:rPr>
          <w:lang w:val="nl-BE"/>
        </w:rPr>
        <w:t>Gelet op de inwerkingtreding van het nieuwe Strafwetboek stelt de wetgever niet langer basismisdrijven met verzwarende omstandigheden voorop, maar wel verzwaarde misdrijven.</w:t>
      </w:r>
    </w:p>
    <w:p w14:paraId="798F7122" w14:textId="58521BF1" w:rsidR="00293020" w:rsidRPr="0069784D" w:rsidRDefault="00293020" w:rsidP="009C15CF">
      <w:pPr>
        <w:jc w:val="both"/>
        <w:rPr>
          <w:lang w:val="nl-BE"/>
        </w:rPr>
      </w:pPr>
      <w:r w:rsidRPr="0069784D">
        <w:rPr>
          <w:lang w:val="nl-BE"/>
        </w:rPr>
        <w:t>Dit heeft een impact op de manier waarop de rechtsplegingsstukken opgemaakt worden.</w:t>
      </w:r>
    </w:p>
    <w:p w14:paraId="6106C497" w14:textId="2404A191" w:rsidR="00293020" w:rsidRPr="0069784D" w:rsidRDefault="00293020" w:rsidP="009C15CF">
      <w:pPr>
        <w:jc w:val="both"/>
        <w:rPr>
          <w:lang w:val="nl-BE"/>
        </w:rPr>
      </w:pPr>
      <w:r w:rsidRPr="0069784D">
        <w:rPr>
          <w:lang w:val="nl-BE"/>
        </w:rPr>
        <w:t xml:space="preserve">Niettemin wordt in de MaCH-applicatie </w:t>
      </w:r>
      <w:r w:rsidR="0065527A" w:rsidRPr="0069784D">
        <w:rPr>
          <w:lang w:val="nl-BE"/>
        </w:rPr>
        <w:t xml:space="preserve">momenteel </w:t>
      </w:r>
      <w:r w:rsidRPr="0069784D">
        <w:rPr>
          <w:lang w:val="nl-BE"/>
        </w:rPr>
        <w:t>nog steeds uitgegaan van basismisdrijven waaraan verzwarende omstandigheden toegevoegd worden.</w:t>
      </w:r>
    </w:p>
    <w:p w14:paraId="60EFBC1C" w14:textId="44DAEEAB" w:rsidR="00293020" w:rsidRPr="0069784D" w:rsidRDefault="006F6BF0" w:rsidP="009C15CF">
      <w:pPr>
        <w:jc w:val="both"/>
        <w:rPr>
          <w:b/>
          <w:bCs/>
          <w:lang w:val="nl-BE"/>
        </w:rPr>
      </w:pPr>
      <w:r w:rsidRPr="0069784D">
        <w:rPr>
          <w:b/>
          <w:bCs/>
          <w:lang w:val="nl-BE"/>
        </w:rPr>
        <w:t xml:space="preserve">Er wordt </w:t>
      </w:r>
      <w:r w:rsidR="00654E27" w:rsidRPr="0069784D">
        <w:rPr>
          <w:b/>
          <w:bCs/>
          <w:lang w:val="nl-BE"/>
        </w:rPr>
        <w:t xml:space="preserve">bijgevolg </w:t>
      </w:r>
      <w:r w:rsidRPr="0069784D">
        <w:rPr>
          <w:b/>
          <w:bCs/>
          <w:lang w:val="nl-BE"/>
        </w:rPr>
        <w:t xml:space="preserve">aanbevolen dat de magistraat bij de opmaak van zijn dagvaarding of vordering elk verzwaard misdrijf (door uit te gaan van de in de MaCH-applicatie beschikbare misdrijven en verzwarende omstandigheden) </w:t>
      </w:r>
      <w:r w:rsidR="00654E27" w:rsidRPr="0069784D">
        <w:rPr>
          <w:b/>
          <w:bCs/>
          <w:lang w:val="nl-BE"/>
        </w:rPr>
        <w:t>afzonderlijk in aanmerking neemt en zo tot een</w:t>
      </w:r>
      <w:r w:rsidRPr="0069784D">
        <w:rPr>
          <w:b/>
          <w:bCs/>
          <w:lang w:val="nl-BE"/>
        </w:rPr>
        <w:t xml:space="preserve"> ideale samenloop van misdrijven </w:t>
      </w:r>
      <w:r w:rsidR="00654E27" w:rsidRPr="0069784D">
        <w:rPr>
          <w:b/>
          <w:bCs/>
          <w:lang w:val="nl-BE"/>
        </w:rPr>
        <w:t>komt</w:t>
      </w:r>
      <w:r w:rsidRPr="0069784D">
        <w:rPr>
          <w:b/>
          <w:bCs/>
          <w:lang w:val="nl-BE"/>
        </w:rPr>
        <w:t>.</w:t>
      </w:r>
    </w:p>
    <w:p w14:paraId="035CB21D" w14:textId="30481AC9" w:rsidR="006F6BF0" w:rsidRPr="0069784D" w:rsidRDefault="006F6BF0" w:rsidP="009C15CF">
      <w:pPr>
        <w:jc w:val="both"/>
        <w:rPr>
          <w:lang w:val="nl-BE"/>
        </w:rPr>
      </w:pPr>
      <w:r w:rsidRPr="0069784D">
        <w:rPr>
          <w:lang w:val="nl-BE"/>
        </w:rPr>
        <w:t xml:space="preserve">Zo kan het bijvoorbeeld niet de bedoeling zijn om de aantasting van de seksuele integriteit te beogen met de omstandigheid dat de handeling gepleegd werd ten aanzien van een minderjarige ouder dan 16 jaar of met de omstandigheid dat de handeling gepleegd werd aan de hand van een discriminerende drijfveer, maar dient </w:t>
      </w:r>
      <w:r w:rsidRPr="0069784D">
        <w:rPr>
          <w:b/>
          <w:bCs/>
          <w:lang w:val="nl-BE"/>
        </w:rPr>
        <w:t>enerzijds</w:t>
      </w:r>
      <w:r w:rsidRPr="0069784D">
        <w:rPr>
          <w:lang w:val="nl-BE"/>
        </w:rPr>
        <w:t xml:space="preserve"> de aantasting van de seksuele integriteit ten aanzien van een </w:t>
      </w:r>
      <w:r w:rsidR="0065527A" w:rsidRPr="0069784D">
        <w:rPr>
          <w:lang w:val="nl-BE"/>
        </w:rPr>
        <w:t>minde</w:t>
      </w:r>
      <w:r w:rsidRPr="0069784D">
        <w:rPr>
          <w:lang w:val="nl-BE"/>
        </w:rPr>
        <w:t xml:space="preserve">rjarige ouder dan 16 jaar en </w:t>
      </w:r>
      <w:r w:rsidRPr="0069784D">
        <w:rPr>
          <w:b/>
          <w:bCs/>
          <w:lang w:val="nl-BE"/>
        </w:rPr>
        <w:t>anderzijds</w:t>
      </w:r>
      <w:r w:rsidRPr="0069784D">
        <w:rPr>
          <w:lang w:val="nl-BE"/>
        </w:rPr>
        <w:t xml:space="preserve"> de aantasting van de </w:t>
      </w:r>
      <w:r w:rsidR="001B1C24" w:rsidRPr="003F5949">
        <w:rPr>
          <w:lang w:val="nl-BE"/>
        </w:rPr>
        <w:t>seksuele</w:t>
      </w:r>
      <w:r w:rsidR="001B1C24" w:rsidRPr="0069784D">
        <w:rPr>
          <w:lang w:val="nl-BE"/>
        </w:rPr>
        <w:t xml:space="preserve"> </w:t>
      </w:r>
      <w:r w:rsidRPr="0069784D">
        <w:rPr>
          <w:lang w:val="nl-BE"/>
        </w:rPr>
        <w:t>integriteit met een discriminerende drijfveer beoogd te worden.</w:t>
      </w:r>
    </w:p>
    <w:p w14:paraId="5B1EE762" w14:textId="4E2989E0" w:rsidR="009B112A" w:rsidRPr="0069784D" w:rsidRDefault="009B112A" w:rsidP="009C15CF">
      <w:pPr>
        <w:jc w:val="both"/>
        <w:rPr>
          <w:lang w:val="nl-BE"/>
        </w:rPr>
      </w:pPr>
      <w:r w:rsidRPr="0069784D">
        <w:rPr>
          <w:lang w:val="nl-BE"/>
        </w:rPr>
        <w:t>Het nieuwe begrip ‘</w:t>
      </w:r>
      <w:r w:rsidRPr="0069784D">
        <w:rPr>
          <w:b/>
          <w:bCs/>
          <w:lang w:val="nl-BE"/>
        </w:rPr>
        <w:t>verzwarende factor</w:t>
      </w:r>
      <w:r w:rsidRPr="0069784D">
        <w:rPr>
          <w:lang w:val="nl-BE"/>
        </w:rPr>
        <w:t xml:space="preserve">’ werd ingevoerd om aan dit probleem te verhelpen. Het gaat hierbij om omstandigheden waarmee de rechter rekening houdt bij de keuze </w:t>
      </w:r>
      <w:r w:rsidR="001B1C24" w:rsidRPr="003F5949">
        <w:rPr>
          <w:lang w:val="nl-BE"/>
        </w:rPr>
        <w:t>van de</w:t>
      </w:r>
      <w:r w:rsidR="001B1C24">
        <w:rPr>
          <w:lang w:val="nl-BE"/>
        </w:rPr>
        <w:t xml:space="preserve"> straf</w:t>
      </w:r>
      <w:r w:rsidRPr="0069784D">
        <w:rPr>
          <w:lang w:val="nl-BE"/>
        </w:rPr>
        <w:t xml:space="preserve"> en het bepalen van de </w:t>
      </w:r>
      <w:r w:rsidR="001B1C24" w:rsidRPr="003F5949">
        <w:rPr>
          <w:lang w:val="nl-BE"/>
        </w:rPr>
        <w:t>hoogte van d</w:t>
      </w:r>
      <w:r w:rsidR="001B1C24">
        <w:rPr>
          <w:lang w:val="nl-BE"/>
        </w:rPr>
        <w:t>e straf</w:t>
      </w:r>
      <w:r w:rsidRPr="0069784D">
        <w:rPr>
          <w:lang w:val="nl-BE"/>
        </w:rPr>
        <w:t xml:space="preserve"> binnen de wettelijke vork tussen de minimum- en de maximumstraf.</w:t>
      </w:r>
    </w:p>
    <w:p w14:paraId="4B9F9256" w14:textId="0F472CAE" w:rsidR="009B112A" w:rsidRPr="0069784D" w:rsidRDefault="009B112A" w:rsidP="009C15CF">
      <w:pPr>
        <w:jc w:val="both"/>
        <w:rPr>
          <w:lang w:val="nl-BE"/>
        </w:rPr>
      </w:pPr>
      <w:r w:rsidRPr="0069784D">
        <w:rPr>
          <w:lang w:val="nl-BE"/>
        </w:rPr>
        <w:t>De rechter dient zijn keuze te motiveren in het licht van de verzwarende factoren. Indien er conclusies neergelegd worden met betrekking tot dit punt, dient de rechter hier ook op te antwoorden</w:t>
      </w:r>
      <w:r w:rsidR="006F6BF0" w:rsidRPr="0069784D">
        <w:rPr>
          <w:rStyle w:val="FootnoteReference"/>
          <w:lang w:val="nl-BE"/>
        </w:rPr>
        <w:footnoteReference w:customMarkFollows="1" w:id="5"/>
        <w:t>5</w:t>
      </w:r>
      <w:r w:rsidRPr="0069784D">
        <w:rPr>
          <w:lang w:val="nl-BE"/>
        </w:rPr>
        <w:t xml:space="preserve">. </w:t>
      </w:r>
    </w:p>
    <w:p w14:paraId="43BDD11F" w14:textId="752C49B0" w:rsidR="009B112A" w:rsidRPr="0069784D" w:rsidRDefault="009B112A" w:rsidP="009C15CF">
      <w:pPr>
        <w:jc w:val="both"/>
        <w:rPr>
          <w:bCs/>
          <w:lang w:val="nl-BE"/>
        </w:rPr>
      </w:pPr>
      <w:r w:rsidRPr="0069784D">
        <w:rPr>
          <w:b/>
          <w:lang w:val="nl-BE"/>
        </w:rPr>
        <w:t xml:space="preserve">Er wordt dus aanbevolen dat het Openbaar Ministerie in zijn </w:t>
      </w:r>
      <w:r w:rsidR="00654E27" w:rsidRPr="0069784D">
        <w:rPr>
          <w:b/>
          <w:lang w:val="nl-BE"/>
        </w:rPr>
        <w:t>rechtsplegingsstukken</w:t>
      </w:r>
      <w:r w:rsidRPr="0069784D">
        <w:rPr>
          <w:b/>
          <w:lang w:val="nl-BE"/>
        </w:rPr>
        <w:t xml:space="preserve"> (vorderingen en dagvaardingen) deze verzwarende factoren aangeeft. </w:t>
      </w:r>
      <w:r w:rsidR="006F6BF0" w:rsidRPr="0069784D">
        <w:rPr>
          <w:bCs/>
          <w:lang w:val="nl-BE"/>
        </w:rPr>
        <w:t xml:space="preserve">Deze verzwarende factoren kunnen </w:t>
      </w:r>
      <w:r w:rsidR="00654E27" w:rsidRPr="0069784D">
        <w:rPr>
          <w:bCs/>
          <w:lang w:val="nl-BE"/>
        </w:rPr>
        <w:t xml:space="preserve">evenwel </w:t>
      </w:r>
      <w:r w:rsidR="006F6BF0" w:rsidRPr="0069784D">
        <w:rPr>
          <w:bCs/>
          <w:lang w:val="nl-BE"/>
        </w:rPr>
        <w:t xml:space="preserve">niet </w:t>
      </w:r>
      <w:r w:rsidR="00EE0684" w:rsidRPr="0069784D">
        <w:rPr>
          <w:bCs/>
          <w:lang w:val="nl-BE"/>
        </w:rPr>
        <w:t>uit de</w:t>
      </w:r>
      <w:r w:rsidR="006F6BF0" w:rsidRPr="0069784D">
        <w:rPr>
          <w:lang w:val="nl-BE"/>
        </w:rPr>
        <w:t xml:space="preserve"> MaCH-applicatie </w:t>
      </w:r>
      <w:r w:rsidR="00EE0684" w:rsidRPr="0069784D">
        <w:rPr>
          <w:lang w:val="nl-BE"/>
        </w:rPr>
        <w:t>gehaald</w:t>
      </w:r>
      <w:r w:rsidR="006F6BF0" w:rsidRPr="0069784D">
        <w:rPr>
          <w:lang w:val="nl-BE"/>
        </w:rPr>
        <w:t xml:space="preserve"> worden, waardoor dit dus manueel </w:t>
      </w:r>
      <w:r w:rsidR="00EE0684" w:rsidRPr="0069784D">
        <w:rPr>
          <w:lang w:val="nl-BE"/>
        </w:rPr>
        <w:t>ingegeven dient te worden</w:t>
      </w:r>
      <w:r w:rsidR="006F6BF0" w:rsidRPr="0069784D">
        <w:rPr>
          <w:lang w:val="nl-BE"/>
        </w:rPr>
        <w:t xml:space="preserve">. </w:t>
      </w:r>
    </w:p>
    <w:p w14:paraId="4C56CAB6" w14:textId="0F0E016F" w:rsidR="009B112A" w:rsidRPr="0069784D" w:rsidRDefault="009B112A" w:rsidP="009C15CF">
      <w:pPr>
        <w:jc w:val="both"/>
        <w:rPr>
          <w:b/>
          <w:lang w:val="nl-BE"/>
        </w:rPr>
      </w:pPr>
      <w:r w:rsidRPr="0069784D">
        <w:rPr>
          <w:lang w:val="nl-BE"/>
        </w:rPr>
        <w:t xml:space="preserve">Omwille van de verhoging van </w:t>
      </w:r>
      <w:r w:rsidR="001B1C24" w:rsidRPr="003F5949">
        <w:rPr>
          <w:lang w:val="nl-BE"/>
        </w:rPr>
        <w:t>de s</w:t>
      </w:r>
      <w:r w:rsidR="001B1C24">
        <w:rPr>
          <w:lang w:val="nl-BE"/>
        </w:rPr>
        <w:t>trafmaten</w:t>
      </w:r>
      <w:r w:rsidR="001B1C24" w:rsidRPr="0069784D">
        <w:rPr>
          <w:b/>
          <w:bCs/>
          <w:lang w:val="nl-BE"/>
        </w:rPr>
        <w:t xml:space="preserve"> </w:t>
      </w:r>
      <w:r w:rsidRPr="0069784D">
        <w:rPr>
          <w:b/>
          <w:bCs/>
          <w:lang w:val="nl-BE"/>
        </w:rPr>
        <w:t>is voor een aantal misdrijven niet langer een correctionalisering mogelijk</w:t>
      </w:r>
      <w:r w:rsidRPr="0069784D">
        <w:rPr>
          <w:lang w:val="nl-BE"/>
        </w:rPr>
        <w:t xml:space="preserve">, zonder dat dit evenwel een weloverwogen keuze van de wetgever lijkt </w:t>
      </w:r>
      <w:r w:rsidR="001B1C24">
        <w:rPr>
          <w:lang w:val="nl-BE"/>
        </w:rPr>
        <w:t xml:space="preserve">te zijn </w:t>
      </w:r>
      <w:r w:rsidRPr="0069784D">
        <w:rPr>
          <w:lang w:val="nl-BE"/>
        </w:rPr>
        <w:t xml:space="preserve">(dit wordt in de parlementaire documenten alleszins niet als dusdanig verantwoord). </w:t>
      </w:r>
      <w:r w:rsidRPr="0069784D">
        <w:rPr>
          <w:b/>
          <w:bCs/>
          <w:lang w:val="nl-BE"/>
        </w:rPr>
        <w:t xml:space="preserve">Dit is meer bepaald het geval voor een verkrachting van een persoon in een kwetsbare situatie </w:t>
      </w:r>
      <w:r w:rsidRPr="0069784D">
        <w:rPr>
          <w:b/>
          <w:lang w:val="nl-BE"/>
        </w:rPr>
        <w:t xml:space="preserve">(417/15), een </w:t>
      </w:r>
      <w:r w:rsidRPr="0069784D">
        <w:rPr>
          <w:b/>
          <w:lang w:val="nl-BE"/>
        </w:rPr>
        <w:lastRenderedPageBreak/>
        <w:t>verkrachting met de verzwarende omstandigheid van incest (417/18) en de organisatie van ontucht of prostitutie van een minderjarige in vereniging (417/37)</w:t>
      </w:r>
      <w:r w:rsidR="006F6BF0" w:rsidRPr="0069784D">
        <w:rPr>
          <w:rStyle w:val="FootnoteReference"/>
          <w:b/>
          <w:lang w:val="nl-BE"/>
        </w:rPr>
        <w:footnoteReference w:customMarkFollows="1" w:id="6"/>
        <w:t>6</w:t>
      </w:r>
      <w:r w:rsidRPr="0069784D">
        <w:rPr>
          <w:b/>
          <w:lang w:val="nl-BE"/>
        </w:rPr>
        <w:t>.</w:t>
      </w:r>
    </w:p>
    <w:p w14:paraId="38AB822F" w14:textId="2A0EAFDC" w:rsidR="009B112A" w:rsidRPr="0069784D" w:rsidRDefault="009B112A" w:rsidP="009C15CF">
      <w:pPr>
        <w:jc w:val="both"/>
        <w:rPr>
          <w:lang w:val="nl-BE"/>
        </w:rPr>
      </w:pPr>
      <w:r w:rsidRPr="0069784D">
        <w:rPr>
          <w:lang w:val="nl-BE"/>
        </w:rPr>
        <w:t xml:space="preserve">De straf van de opgelegde behandeling werd uit de wet gehaald in afwachting van een algemene reflectie </w:t>
      </w:r>
      <w:r w:rsidR="001B1C24">
        <w:rPr>
          <w:lang w:val="nl-BE"/>
        </w:rPr>
        <w:t xml:space="preserve">die </w:t>
      </w:r>
      <w:r w:rsidRPr="0069784D">
        <w:rPr>
          <w:lang w:val="nl-BE"/>
        </w:rPr>
        <w:t>in het kader van het ontwerp van nieuw Strafwetboek</w:t>
      </w:r>
      <w:r w:rsidR="001B1C24">
        <w:rPr>
          <w:lang w:val="nl-BE"/>
        </w:rPr>
        <w:t xml:space="preserve"> </w:t>
      </w:r>
      <w:r w:rsidR="001B1C24" w:rsidRPr="003F5949">
        <w:rPr>
          <w:lang w:val="nl-BE"/>
        </w:rPr>
        <w:t>zal gevoerd w</w:t>
      </w:r>
      <w:r w:rsidR="001B1C24">
        <w:rPr>
          <w:lang w:val="nl-BE"/>
        </w:rPr>
        <w:t>orden</w:t>
      </w:r>
      <w:r w:rsidRPr="0069784D">
        <w:rPr>
          <w:lang w:val="nl-BE"/>
        </w:rPr>
        <w:t xml:space="preserve">. </w:t>
      </w:r>
    </w:p>
    <w:p w14:paraId="26AE054A" w14:textId="77777777" w:rsidR="009B112A" w:rsidRPr="00D703D6" w:rsidRDefault="009B112A" w:rsidP="009C15CF">
      <w:pPr>
        <w:jc w:val="both"/>
        <w:rPr>
          <w:lang w:val="nl-BE"/>
        </w:rPr>
      </w:pPr>
    </w:p>
    <w:p w14:paraId="7D0DB4E8" w14:textId="3F13D58E" w:rsidR="009B112A" w:rsidRPr="0069784D" w:rsidRDefault="009B112A" w:rsidP="009C15CF">
      <w:pPr>
        <w:pStyle w:val="ListParagraph"/>
        <w:numPr>
          <w:ilvl w:val="0"/>
          <w:numId w:val="22"/>
        </w:numPr>
        <w:jc w:val="both"/>
        <w:rPr>
          <w:b/>
          <w:sz w:val="36"/>
          <w:szCs w:val="36"/>
          <w:lang w:val="nl-BE"/>
        </w:rPr>
      </w:pPr>
      <w:r w:rsidRPr="0069784D">
        <w:rPr>
          <w:b/>
          <w:sz w:val="36"/>
          <w:szCs w:val="36"/>
          <w:lang w:val="nl-BE"/>
        </w:rPr>
        <w:t>Analyse van het nieuwe hoofdstuk I/1 van het Strafwetboek</w:t>
      </w:r>
    </w:p>
    <w:p w14:paraId="76600122" w14:textId="77777777" w:rsidR="00D34618" w:rsidRPr="00D703D6" w:rsidRDefault="00D34618" w:rsidP="009C15CF">
      <w:pPr>
        <w:jc w:val="both"/>
        <w:rPr>
          <w:rFonts w:cstheme="minorHAnsi"/>
          <w:b/>
          <w:bCs/>
          <w:color w:val="000000"/>
          <w:lang w:val="nl-BE"/>
        </w:rPr>
      </w:pPr>
    </w:p>
    <w:p w14:paraId="11E21DFF" w14:textId="6CF10BD6" w:rsidR="009B112A" w:rsidRPr="0069784D" w:rsidRDefault="009B112A" w:rsidP="009C15CF">
      <w:pPr>
        <w:jc w:val="both"/>
        <w:rPr>
          <w:b/>
          <w:bCs/>
          <w:sz w:val="36"/>
          <w:szCs w:val="36"/>
          <w:lang w:val="nl-BE"/>
        </w:rPr>
      </w:pPr>
      <w:r w:rsidRPr="0069784D">
        <w:rPr>
          <w:rFonts w:cstheme="minorHAnsi"/>
          <w:b/>
          <w:bCs/>
          <w:color w:val="000000"/>
          <w:sz w:val="36"/>
          <w:szCs w:val="36"/>
          <w:lang w:val="nl-BE"/>
        </w:rPr>
        <w:t>Misdrijven tegen de seksuele integriteit, het seksuele zelfbeschikkingsrecht en de goede zeden</w:t>
      </w:r>
    </w:p>
    <w:p w14:paraId="2E493E07" w14:textId="77777777" w:rsidR="00D34618" w:rsidRPr="00D703D6" w:rsidRDefault="00D34618" w:rsidP="009C15CF">
      <w:pPr>
        <w:jc w:val="both"/>
        <w:rPr>
          <w:lang w:val="nl-BE"/>
        </w:rPr>
      </w:pPr>
    </w:p>
    <w:p w14:paraId="2AA580E7" w14:textId="5C1860DF" w:rsidR="009B112A" w:rsidRPr="0069784D" w:rsidRDefault="009B112A" w:rsidP="009C15CF">
      <w:pPr>
        <w:jc w:val="both"/>
        <w:rPr>
          <w:sz w:val="36"/>
          <w:szCs w:val="36"/>
          <w:lang w:val="nl-BE"/>
        </w:rPr>
      </w:pPr>
      <w:r w:rsidRPr="0069784D">
        <w:rPr>
          <w:sz w:val="36"/>
          <w:szCs w:val="36"/>
          <w:lang w:val="nl-BE"/>
        </w:rPr>
        <w:t>Structuur van hoofdstuk I/1:</w:t>
      </w:r>
    </w:p>
    <w:p w14:paraId="2A4ED96A" w14:textId="77777777" w:rsidR="009B112A" w:rsidRPr="0069784D" w:rsidRDefault="009B112A" w:rsidP="009C15CF">
      <w:pPr>
        <w:pStyle w:val="ListParagraph"/>
        <w:numPr>
          <w:ilvl w:val="0"/>
          <w:numId w:val="11"/>
        </w:numPr>
        <w:jc w:val="both"/>
        <w:rPr>
          <w:lang w:val="nl-BE"/>
        </w:rPr>
      </w:pPr>
      <w:r w:rsidRPr="0069784D">
        <w:rPr>
          <w:color w:val="000000"/>
          <w:lang w:val="nl-BE"/>
        </w:rPr>
        <w:t>Afdeling 1: Aantasting van de seksuele integriteit, voyeurisme, niet-consensuele verspreiding van seksueel getinte inhoud en verkrachting</w:t>
      </w:r>
    </w:p>
    <w:p w14:paraId="2DF77387" w14:textId="77777777" w:rsidR="009B112A" w:rsidRPr="0069784D" w:rsidRDefault="009B112A" w:rsidP="009C15CF">
      <w:pPr>
        <w:pStyle w:val="ListParagraph"/>
        <w:numPr>
          <w:ilvl w:val="2"/>
          <w:numId w:val="6"/>
        </w:numPr>
        <w:jc w:val="both"/>
        <w:rPr>
          <w:color w:val="000000"/>
          <w:lang w:val="nl-BE"/>
        </w:rPr>
      </w:pPr>
      <w:r w:rsidRPr="0069784D">
        <w:rPr>
          <w:color w:val="000000"/>
          <w:lang w:val="nl-BE"/>
        </w:rPr>
        <w:t>Onderafdeling 1: Toestemming met betrekking tot het seksueel zelfbeschikkingsrecht</w:t>
      </w:r>
    </w:p>
    <w:p w14:paraId="0917C87B" w14:textId="77777777" w:rsidR="009B112A" w:rsidRPr="0069784D" w:rsidRDefault="009B112A" w:rsidP="009C15CF">
      <w:pPr>
        <w:pStyle w:val="ListParagraph"/>
        <w:numPr>
          <w:ilvl w:val="0"/>
          <w:numId w:val="12"/>
        </w:numPr>
        <w:jc w:val="both"/>
        <w:rPr>
          <w:b/>
          <w:color w:val="000000"/>
          <w:lang w:val="nl-BE"/>
        </w:rPr>
      </w:pPr>
      <w:r w:rsidRPr="0069784D">
        <w:rPr>
          <w:b/>
          <w:color w:val="000000"/>
          <w:lang w:val="nl-BE"/>
        </w:rPr>
        <w:t>417/5: toestemming</w:t>
      </w:r>
    </w:p>
    <w:p w14:paraId="7072C044" w14:textId="77777777" w:rsidR="009B112A" w:rsidRPr="0069784D" w:rsidRDefault="009B112A" w:rsidP="009C15CF">
      <w:pPr>
        <w:pStyle w:val="ListParagraph"/>
        <w:numPr>
          <w:ilvl w:val="0"/>
          <w:numId w:val="12"/>
        </w:numPr>
        <w:jc w:val="both"/>
        <w:rPr>
          <w:b/>
          <w:color w:val="000000"/>
          <w:lang w:val="nl-BE"/>
        </w:rPr>
      </w:pPr>
      <w:r w:rsidRPr="0069784D">
        <w:rPr>
          <w:b/>
          <w:color w:val="000000"/>
          <w:lang w:val="nl-BE"/>
        </w:rPr>
        <w:t>417/6: beperkingen aan de mogelijkheid tot toestemming door de minderjarige</w:t>
      </w:r>
    </w:p>
    <w:p w14:paraId="7D46E9A2" w14:textId="77777777" w:rsidR="009B112A" w:rsidRPr="0069784D" w:rsidRDefault="009B112A" w:rsidP="009C15CF">
      <w:pPr>
        <w:pStyle w:val="ListParagraph"/>
        <w:numPr>
          <w:ilvl w:val="2"/>
          <w:numId w:val="6"/>
        </w:numPr>
        <w:jc w:val="both"/>
        <w:rPr>
          <w:lang w:val="fr-FR"/>
        </w:rPr>
      </w:pPr>
      <w:r w:rsidRPr="0069784D">
        <w:rPr>
          <w:color w:val="000000"/>
          <w:lang w:val="nl-BE"/>
        </w:rPr>
        <w:t>Onderafdeling</w:t>
      </w:r>
      <w:r w:rsidRPr="0069784D">
        <w:rPr>
          <w:color w:val="000000"/>
          <w:lang w:val="fr-FR"/>
        </w:rPr>
        <w:t xml:space="preserve"> 2: Basismisdrijven</w:t>
      </w:r>
    </w:p>
    <w:p w14:paraId="247DF2A6" w14:textId="77777777" w:rsidR="009B112A" w:rsidRPr="0069784D" w:rsidRDefault="009B112A" w:rsidP="009C15CF">
      <w:pPr>
        <w:pStyle w:val="ListParagraph"/>
        <w:numPr>
          <w:ilvl w:val="4"/>
          <w:numId w:val="6"/>
        </w:numPr>
        <w:jc w:val="both"/>
        <w:rPr>
          <w:b/>
          <w:lang w:val="nl-BE"/>
        </w:rPr>
      </w:pPr>
      <w:r w:rsidRPr="0069784D">
        <w:rPr>
          <w:b/>
          <w:lang w:val="nl-BE"/>
        </w:rPr>
        <w:t>417/7: aantasting van de seksuele integriteit</w:t>
      </w:r>
    </w:p>
    <w:p w14:paraId="0ED29B75" w14:textId="77777777" w:rsidR="009B112A" w:rsidRPr="0069784D" w:rsidRDefault="009B112A" w:rsidP="009C15CF">
      <w:pPr>
        <w:pStyle w:val="ListParagraph"/>
        <w:numPr>
          <w:ilvl w:val="4"/>
          <w:numId w:val="6"/>
        </w:numPr>
        <w:jc w:val="both"/>
        <w:rPr>
          <w:b/>
          <w:lang w:val="nl-BE"/>
        </w:rPr>
      </w:pPr>
      <w:r w:rsidRPr="0069784D">
        <w:rPr>
          <w:b/>
          <w:lang w:val="nl-BE"/>
        </w:rPr>
        <w:t xml:space="preserve">417/8 tot 417/10: voyeurisme en </w:t>
      </w:r>
      <w:bookmarkStart w:id="2" w:name="_Hlk103785652"/>
      <w:r w:rsidRPr="0069784D">
        <w:rPr>
          <w:b/>
          <w:lang w:val="nl-BE"/>
        </w:rPr>
        <w:t>niet-consensuele verspreiding van seksueel getinte inhoud</w:t>
      </w:r>
      <w:bookmarkEnd w:id="2"/>
    </w:p>
    <w:p w14:paraId="40A2801E" w14:textId="77777777" w:rsidR="009B112A" w:rsidRPr="0069784D" w:rsidRDefault="009B112A" w:rsidP="009C15CF">
      <w:pPr>
        <w:pStyle w:val="ListParagraph"/>
        <w:numPr>
          <w:ilvl w:val="4"/>
          <w:numId w:val="6"/>
        </w:numPr>
        <w:jc w:val="both"/>
        <w:rPr>
          <w:b/>
          <w:lang w:val="nl-BE"/>
        </w:rPr>
      </w:pPr>
      <w:r w:rsidRPr="0069784D">
        <w:rPr>
          <w:b/>
          <w:lang w:val="nl-BE"/>
        </w:rPr>
        <w:t>417/11: verkrachting</w:t>
      </w:r>
    </w:p>
    <w:p w14:paraId="3519C39C" w14:textId="77777777" w:rsidR="009B112A" w:rsidRPr="0069784D" w:rsidRDefault="009B112A" w:rsidP="009C15CF">
      <w:pPr>
        <w:pStyle w:val="ListParagraph"/>
        <w:numPr>
          <w:ilvl w:val="2"/>
          <w:numId w:val="6"/>
        </w:numPr>
        <w:jc w:val="both"/>
        <w:rPr>
          <w:color w:val="000000"/>
          <w:lang w:val="fr-FR"/>
        </w:rPr>
      </w:pPr>
      <w:r w:rsidRPr="0069784D">
        <w:rPr>
          <w:color w:val="000000"/>
          <w:lang w:val="nl-BE"/>
        </w:rPr>
        <w:t>Onderafdeling</w:t>
      </w:r>
      <w:r w:rsidRPr="0069784D">
        <w:rPr>
          <w:color w:val="000000"/>
          <w:lang w:val="fr-FR"/>
        </w:rPr>
        <w:t xml:space="preserve"> 3: Verzwaarde misdrijven</w:t>
      </w:r>
    </w:p>
    <w:p w14:paraId="387200CD" w14:textId="77777777" w:rsidR="009B112A" w:rsidRPr="0069784D" w:rsidRDefault="009B112A" w:rsidP="009C15CF">
      <w:pPr>
        <w:pStyle w:val="ListParagraph"/>
        <w:numPr>
          <w:ilvl w:val="4"/>
          <w:numId w:val="6"/>
        </w:numPr>
        <w:jc w:val="both"/>
        <w:rPr>
          <w:b/>
          <w:color w:val="000000"/>
          <w:lang w:val="nl-BE"/>
        </w:rPr>
      </w:pPr>
      <w:r w:rsidRPr="0069784D">
        <w:rPr>
          <w:b/>
          <w:color w:val="000000"/>
          <w:lang w:val="nl-BE"/>
        </w:rPr>
        <w:t>417/12 tot 417/22: verzwarende omstandigheden</w:t>
      </w:r>
    </w:p>
    <w:p w14:paraId="08959D1B" w14:textId="77777777" w:rsidR="009B112A" w:rsidRPr="0069784D" w:rsidRDefault="009B112A" w:rsidP="009C15CF">
      <w:pPr>
        <w:pStyle w:val="ListParagraph"/>
        <w:numPr>
          <w:ilvl w:val="2"/>
          <w:numId w:val="6"/>
        </w:numPr>
        <w:jc w:val="both"/>
        <w:rPr>
          <w:color w:val="000000"/>
          <w:lang w:val="nl-BE"/>
        </w:rPr>
      </w:pPr>
      <w:r w:rsidRPr="0069784D">
        <w:rPr>
          <w:color w:val="000000"/>
          <w:lang w:val="nl-BE"/>
        </w:rPr>
        <w:t>Onderafdeling 4: Algemene bepalingen</w:t>
      </w:r>
    </w:p>
    <w:p w14:paraId="6EB8C61C" w14:textId="77777777" w:rsidR="009B112A" w:rsidRPr="0069784D" w:rsidRDefault="009B112A" w:rsidP="009C15CF">
      <w:pPr>
        <w:pStyle w:val="ListParagraph"/>
        <w:numPr>
          <w:ilvl w:val="4"/>
          <w:numId w:val="6"/>
        </w:numPr>
        <w:jc w:val="both"/>
        <w:rPr>
          <w:b/>
          <w:color w:val="000000"/>
          <w:lang w:val="nl-BE"/>
        </w:rPr>
      </w:pPr>
      <w:r w:rsidRPr="0069784D">
        <w:rPr>
          <w:b/>
          <w:color w:val="000000"/>
          <w:lang w:val="nl-BE"/>
        </w:rPr>
        <w:t>417/23: verzwarende factoren</w:t>
      </w:r>
    </w:p>
    <w:p w14:paraId="41950DF1" w14:textId="77777777" w:rsidR="009B112A" w:rsidRPr="0069784D" w:rsidRDefault="009B112A" w:rsidP="009C15CF">
      <w:pPr>
        <w:pStyle w:val="ListParagraph"/>
        <w:ind w:left="1080"/>
        <w:jc w:val="both"/>
        <w:rPr>
          <w:color w:val="000000"/>
          <w:lang w:val="nl-BE"/>
        </w:rPr>
      </w:pPr>
    </w:p>
    <w:p w14:paraId="0E44B470" w14:textId="77777777" w:rsidR="009B112A" w:rsidRPr="0069784D" w:rsidRDefault="009B112A" w:rsidP="009C15CF">
      <w:pPr>
        <w:pStyle w:val="ListParagraph"/>
        <w:numPr>
          <w:ilvl w:val="0"/>
          <w:numId w:val="11"/>
        </w:numPr>
        <w:jc w:val="both"/>
        <w:rPr>
          <w:color w:val="000000"/>
          <w:lang w:val="nl-BE"/>
        </w:rPr>
      </w:pPr>
      <w:r w:rsidRPr="0069784D">
        <w:rPr>
          <w:color w:val="000000"/>
          <w:lang w:val="nl-BE"/>
        </w:rPr>
        <w:t>Afdeling 2: Seksuele uitbuiting van minderjarigen</w:t>
      </w:r>
    </w:p>
    <w:p w14:paraId="7CCAF703" w14:textId="77777777" w:rsidR="009B112A" w:rsidRPr="0069784D" w:rsidRDefault="009B112A" w:rsidP="009C15CF">
      <w:pPr>
        <w:pStyle w:val="ListParagraph"/>
        <w:numPr>
          <w:ilvl w:val="2"/>
          <w:numId w:val="6"/>
        </w:numPr>
        <w:jc w:val="both"/>
        <w:rPr>
          <w:color w:val="000000"/>
          <w:lang w:val="nl-BE"/>
        </w:rPr>
      </w:pPr>
      <w:r w:rsidRPr="0069784D">
        <w:rPr>
          <w:color w:val="000000"/>
          <w:lang w:val="nl-BE"/>
        </w:rPr>
        <w:t xml:space="preserve">Onderafdeling 1: </w:t>
      </w:r>
      <w:r w:rsidRPr="0069784D">
        <w:rPr>
          <w:b/>
          <w:color w:val="000000"/>
          <w:lang w:val="nl-BE"/>
        </w:rPr>
        <w:t>Benaderen van een minderjarige voor seksuele doeleinden</w:t>
      </w:r>
    </w:p>
    <w:p w14:paraId="1173357D" w14:textId="77777777" w:rsidR="009B112A" w:rsidRPr="0069784D" w:rsidRDefault="009B112A" w:rsidP="009C15CF">
      <w:pPr>
        <w:pStyle w:val="ListParagraph"/>
        <w:numPr>
          <w:ilvl w:val="4"/>
          <w:numId w:val="6"/>
        </w:numPr>
        <w:jc w:val="both"/>
        <w:rPr>
          <w:b/>
          <w:color w:val="000000"/>
          <w:lang w:val="nl-BE"/>
        </w:rPr>
      </w:pPr>
      <w:r w:rsidRPr="0069784D">
        <w:rPr>
          <w:b/>
          <w:color w:val="000000"/>
          <w:lang w:val="nl-BE"/>
        </w:rPr>
        <w:t>417/24 </w:t>
      </w:r>
    </w:p>
    <w:p w14:paraId="0BD7B895" w14:textId="77777777" w:rsidR="009B112A" w:rsidRPr="0069784D" w:rsidRDefault="009B112A" w:rsidP="009C15CF">
      <w:pPr>
        <w:pStyle w:val="ListParagraph"/>
        <w:numPr>
          <w:ilvl w:val="2"/>
          <w:numId w:val="6"/>
        </w:numPr>
        <w:jc w:val="both"/>
        <w:rPr>
          <w:b/>
          <w:color w:val="000000"/>
          <w:lang w:val="nl-BE"/>
        </w:rPr>
      </w:pPr>
      <w:r w:rsidRPr="0069784D">
        <w:rPr>
          <w:color w:val="000000"/>
          <w:lang w:val="nl-BE"/>
        </w:rPr>
        <w:lastRenderedPageBreak/>
        <w:t xml:space="preserve">Onderafdeling 2: </w:t>
      </w:r>
      <w:r w:rsidRPr="0069784D">
        <w:rPr>
          <w:b/>
          <w:color w:val="000000"/>
          <w:lang w:val="nl-BE"/>
        </w:rPr>
        <w:t>Seksuele uitbuiting van minderjarigen met het oog op prostitutie</w:t>
      </w:r>
    </w:p>
    <w:p w14:paraId="6DD0DA22" w14:textId="77777777" w:rsidR="009B112A" w:rsidRPr="0069784D" w:rsidRDefault="009B112A" w:rsidP="009C15CF">
      <w:pPr>
        <w:pStyle w:val="ListParagraph"/>
        <w:numPr>
          <w:ilvl w:val="4"/>
          <w:numId w:val="6"/>
        </w:numPr>
        <w:jc w:val="both"/>
        <w:rPr>
          <w:b/>
          <w:color w:val="000000"/>
          <w:lang w:val="nl-BE"/>
        </w:rPr>
      </w:pPr>
      <w:r w:rsidRPr="0069784D">
        <w:rPr>
          <w:b/>
          <w:color w:val="000000"/>
          <w:lang w:val="nl-BE"/>
        </w:rPr>
        <w:t>417/25 tot 417/42</w:t>
      </w:r>
    </w:p>
    <w:p w14:paraId="004D386D" w14:textId="42B9C7E0" w:rsidR="009B112A" w:rsidRPr="0069784D" w:rsidRDefault="00EE0684" w:rsidP="009C15CF">
      <w:pPr>
        <w:pStyle w:val="ListParagraph"/>
        <w:numPr>
          <w:ilvl w:val="0"/>
          <w:numId w:val="21"/>
        </w:numPr>
        <w:tabs>
          <w:tab w:val="left" w:pos="1134"/>
          <w:tab w:val="left" w:pos="1701"/>
        </w:tabs>
        <w:ind w:firstLine="981"/>
        <w:jc w:val="both"/>
        <w:rPr>
          <w:b/>
          <w:color w:val="000000"/>
          <w:lang w:val="nl-BE"/>
        </w:rPr>
      </w:pPr>
      <w:r w:rsidRPr="0069784D">
        <w:rPr>
          <w:color w:val="000000"/>
          <w:lang w:val="nl-BE"/>
        </w:rPr>
        <w:t xml:space="preserve">Onderafdeling 3: </w:t>
      </w:r>
      <w:r w:rsidRPr="0069784D">
        <w:rPr>
          <w:b/>
          <w:color w:val="000000"/>
          <w:lang w:val="nl-BE"/>
        </w:rPr>
        <w:t xml:space="preserve">Beelden van seksueel misbruik van </w:t>
      </w:r>
      <w:r w:rsidR="005055D8">
        <w:rPr>
          <w:b/>
          <w:color w:val="000000"/>
          <w:lang w:val="nl-BE"/>
        </w:rPr>
        <w:t>minderjarigen</w:t>
      </w:r>
    </w:p>
    <w:p w14:paraId="2D7A5AA2" w14:textId="77777777" w:rsidR="009B112A" w:rsidRPr="0069784D" w:rsidRDefault="009B112A" w:rsidP="009C15CF">
      <w:pPr>
        <w:pStyle w:val="ListParagraph"/>
        <w:numPr>
          <w:ilvl w:val="2"/>
          <w:numId w:val="6"/>
        </w:numPr>
        <w:jc w:val="both"/>
        <w:rPr>
          <w:color w:val="000000"/>
          <w:lang w:val="nl-BE"/>
        </w:rPr>
      </w:pPr>
      <w:r w:rsidRPr="0069784D">
        <w:rPr>
          <w:color w:val="000000"/>
          <w:lang w:val="nl-BE"/>
        </w:rPr>
        <w:t>Onderafdeling 4: Algemene bepaling</w:t>
      </w:r>
    </w:p>
    <w:p w14:paraId="49F3B2B3" w14:textId="77777777" w:rsidR="009B112A" w:rsidRPr="0069784D" w:rsidRDefault="009B112A" w:rsidP="009C15CF">
      <w:pPr>
        <w:pStyle w:val="ListParagraph"/>
        <w:numPr>
          <w:ilvl w:val="4"/>
          <w:numId w:val="6"/>
        </w:numPr>
        <w:jc w:val="both"/>
        <w:rPr>
          <w:b/>
          <w:color w:val="000000"/>
          <w:lang w:val="nl-BE"/>
        </w:rPr>
      </w:pPr>
      <w:r w:rsidRPr="0069784D">
        <w:rPr>
          <w:b/>
          <w:color w:val="000000"/>
          <w:lang w:val="nl-BE"/>
        </w:rPr>
        <w:t>417/50: verzwarende factoren</w:t>
      </w:r>
    </w:p>
    <w:p w14:paraId="251B4795" w14:textId="77777777" w:rsidR="009B112A" w:rsidRPr="0069784D" w:rsidRDefault="009B112A" w:rsidP="009C15CF">
      <w:pPr>
        <w:pStyle w:val="ListParagraph"/>
        <w:ind w:left="3600"/>
        <w:jc w:val="both"/>
        <w:rPr>
          <w:color w:val="000000"/>
          <w:lang w:val="nl-BE"/>
        </w:rPr>
      </w:pPr>
    </w:p>
    <w:p w14:paraId="2295EEB4" w14:textId="77777777" w:rsidR="009B112A" w:rsidRPr="0069784D" w:rsidRDefault="009B112A" w:rsidP="009C15CF">
      <w:pPr>
        <w:pStyle w:val="ListParagraph"/>
        <w:numPr>
          <w:ilvl w:val="0"/>
          <w:numId w:val="11"/>
        </w:numPr>
        <w:jc w:val="both"/>
        <w:rPr>
          <w:color w:val="000000"/>
          <w:lang w:val="fr-FR"/>
        </w:rPr>
      </w:pPr>
      <w:r w:rsidRPr="0069784D">
        <w:rPr>
          <w:color w:val="000000"/>
          <w:lang w:val="fr-FR"/>
        </w:rPr>
        <w:t>Afdeling 3: Openbare zedenschennis</w:t>
      </w:r>
    </w:p>
    <w:p w14:paraId="6CF3457B" w14:textId="77777777" w:rsidR="009B112A" w:rsidRPr="0069784D" w:rsidRDefault="009B112A" w:rsidP="009C15CF">
      <w:pPr>
        <w:pStyle w:val="ListParagraph"/>
        <w:numPr>
          <w:ilvl w:val="4"/>
          <w:numId w:val="6"/>
        </w:numPr>
        <w:jc w:val="both"/>
        <w:rPr>
          <w:b/>
          <w:color w:val="000000"/>
          <w:lang w:val="nl-BE"/>
        </w:rPr>
      </w:pPr>
      <w:r w:rsidRPr="0069784D">
        <w:rPr>
          <w:b/>
          <w:color w:val="000000"/>
          <w:lang w:val="nl-BE"/>
        </w:rPr>
        <w:t>417/51 en 417/52: inhoud van extreem pornografische of gewelddadige aard</w:t>
      </w:r>
    </w:p>
    <w:p w14:paraId="4BBD7492" w14:textId="77777777" w:rsidR="009B112A" w:rsidRPr="0069784D" w:rsidRDefault="009B112A" w:rsidP="009C15CF">
      <w:pPr>
        <w:pStyle w:val="ListParagraph"/>
        <w:numPr>
          <w:ilvl w:val="4"/>
          <w:numId w:val="6"/>
        </w:numPr>
        <w:jc w:val="both"/>
        <w:rPr>
          <w:b/>
          <w:color w:val="000000"/>
          <w:lang w:val="nl-BE"/>
        </w:rPr>
      </w:pPr>
      <w:r w:rsidRPr="0069784D">
        <w:rPr>
          <w:b/>
          <w:color w:val="000000"/>
          <w:lang w:val="nl-BE"/>
        </w:rPr>
        <w:t>417/53 en 417/54: exhibitionisme</w:t>
      </w:r>
    </w:p>
    <w:p w14:paraId="3E2DECAA" w14:textId="77777777" w:rsidR="009B112A" w:rsidRPr="0069784D" w:rsidRDefault="009B112A" w:rsidP="009C15CF">
      <w:pPr>
        <w:pStyle w:val="ListParagraph"/>
        <w:numPr>
          <w:ilvl w:val="4"/>
          <w:numId w:val="6"/>
        </w:numPr>
        <w:jc w:val="both"/>
        <w:rPr>
          <w:b/>
          <w:color w:val="000000"/>
          <w:lang w:val="nl-BE"/>
        </w:rPr>
      </w:pPr>
      <w:r w:rsidRPr="0069784D">
        <w:rPr>
          <w:b/>
          <w:color w:val="000000"/>
          <w:lang w:val="nl-BE"/>
        </w:rPr>
        <w:t>417/55: verzwarende factoren</w:t>
      </w:r>
    </w:p>
    <w:p w14:paraId="02DD179E" w14:textId="77777777" w:rsidR="009B112A" w:rsidRPr="0069784D" w:rsidRDefault="009B112A" w:rsidP="009C15CF">
      <w:pPr>
        <w:pStyle w:val="ListParagraph"/>
        <w:numPr>
          <w:ilvl w:val="0"/>
          <w:numId w:val="11"/>
        </w:numPr>
        <w:jc w:val="both"/>
        <w:rPr>
          <w:color w:val="000000"/>
          <w:lang w:val="nl-BE"/>
        </w:rPr>
      </w:pPr>
      <w:r w:rsidRPr="0069784D">
        <w:rPr>
          <w:color w:val="000000"/>
          <w:lang w:val="nl-BE"/>
        </w:rPr>
        <w:t xml:space="preserve">Afdeling 4: </w:t>
      </w:r>
      <w:r w:rsidRPr="0069784D">
        <w:rPr>
          <w:b/>
          <w:color w:val="000000"/>
          <w:lang w:val="nl-BE"/>
        </w:rPr>
        <w:t>Gemeenschappelijke bepalingen</w:t>
      </w:r>
    </w:p>
    <w:p w14:paraId="76DFC46A" w14:textId="77777777" w:rsidR="009B112A" w:rsidRPr="0069784D" w:rsidRDefault="009B112A" w:rsidP="009C15CF">
      <w:pPr>
        <w:pStyle w:val="ListParagraph"/>
        <w:numPr>
          <w:ilvl w:val="4"/>
          <w:numId w:val="6"/>
        </w:numPr>
        <w:jc w:val="both"/>
        <w:rPr>
          <w:b/>
          <w:bCs/>
          <w:color w:val="000000"/>
          <w:lang w:val="nl-BE"/>
        </w:rPr>
      </w:pPr>
      <w:r w:rsidRPr="0069784D">
        <w:rPr>
          <w:b/>
          <w:bCs/>
          <w:color w:val="000000"/>
          <w:lang w:val="nl-BE"/>
        </w:rPr>
        <w:t>417/56 tot 417/64</w:t>
      </w:r>
    </w:p>
    <w:p w14:paraId="017F034F" w14:textId="77777777" w:rsidR="009B112A" w:rsidRPr="0069784D" w:rsidRDefault="009B112A" w:rsidP="009C15CF">
      <w:pPr>
        <w:jc w:val="both"/>
        <w:rPr>
          <w:lang w:val="nl-BE"/>
        </w:rPr>
      </w:pPr>
    </w:p>
    <w:p w14:paraId="00AEAE5E" w14:textId="1CA03AF4" w:rsidR="009B112A" w:rsidRPr="0069784D" w:rsidRDefault="009B112A" w:rsidP="009C15CF">
      <w:pPr>
        <w:jc w:val="both"/>
        <w:rPr>
          <w:color w:val="000000"/>
          <w:sz w:val="36"/>
          <w:szCs w:val="36"/>
          <w:lang w:val="nl-BE"/>
        </w:rPr>
      </w:pPr>
      <w:r w:rsidRPr="0069784D">
        <w:rPr>
          <w:color w:val="000000"/>
          <w:sz w:val="36"/>
          <w:szCs w:val="36"/>
          <w:lang w:val="nl-BE"/>
        </w:rPr>
        <w:t>Afdeling 1: Aantasting van de seksuele integriteit, voyeurisme, niet-consensuele verspreiding van seksueel getinte inhoud en verkrachting</w:t>
      </w:r>
    </w:p>
    <w:p w14:paraId="4A026DA5" w14:textId="77777777" w:rsidR="00F050A4" w:rsidRPr="0069784D" w:rsidRDefault="00F050A4" w:rsidP="009C15CF">
      <w:pPr>
        <w:jc w:val="both"/>
        <w:rPr>
          <w:lang w:val="nl-BE"/>
        </w:rPr>
      </w:pPr>
    </w:p>
    <w:p w14:paraId="4863F642" w14:textId="77777777" w:rsidR="009B112A" w:rsidRPr="0069784D" w:rsidRDefault="009B112A" w:rsidP="009C15CF">
      <w:pPr>
        <w:jc w:val="both"/>
        <w:rPr>
          <w:sz w:val="28"/>
          <w:szCs w:val="28"/>
          <w:lang w:val="nl-BE"/>
        </w:rPr>
      </w:pPr>
      <w:r w:rsidRPr="0069784D">
        <w:rPr>
          <w:color w:val="000000"/>
          <w:sz w:val="28"/>
          <w:szCs w:val="28"/>
          <w:lang w:val="nl-BE"/>
        </w:rPr>
        <w:t>Onderafdeling 1: Toestemming met betrekking tot het seksueel zelfbeschikkingsrecht</w:t>
      </w:r>
    </w:p>
    <w:p w14:paraId="2A88694D" w14:textId="77777777" w:rsidR="00D34618" w:rsidRPr="0069784D" w:rsidRDefault="00D34618" w:rsidP="009C15CF">
      <w:pPr>
        <w:jc w:val="both"/>
        <w:rPr>
          <w:lang w:val="nl-BE"/>
        </w:rPr>
      </w:pPr>
    </w:p>
    <w:p w14:paraId="3DEB2A76" w14:textId="611BD5A5" w:rsidR="009B112A" w:rsidRPr="0069784D" w:rsidRDefault="005055D8" w:rsidP="009C15CF">
      <w:pPr>
        <w:jc w:val="both"/>
        <w:rPr>
          <w:lang w:val="nl-BE"/>
        </w:rPr>
      </w:pPr>
      <w:r>
        <w:rPr>
          <w:lang w:val="nl-BE"/>
        </w:rPr>
        <w:t>In</w:t>
      </w:r>
      <w:r w:rsidR="009B112A" w:rsidRPr="0069784D">
        <w:rPr>
          <w:lang w:val="nl-BE"/>
        </w:rPr>
        <w:t xml:space="preserve"> de vroegere wet was er sprake van een vermoeden van afwezigheid van toestemming voor een minderjarige jonger dan 16 jaar voor alle seksuele handelingen gepleegd op of met behulp van zijn persoon, en voor alle minderjarigen wanneer hun seksuele partner een familielid was of met hen samenwoonde en gezag over hen uitoefende. </w:t>
      </w:r>
    </w:p>
    <w:p w14:paraId="01C8D25A" w14:textId="77777777" w:rsidR="009B112A" w:rsidRPr="0069784D" w:rsidRDefault="009B112A" w:rsidP="009C15CF">
      <w:pPr>
        <w:jc w:val="both"/>
        <w:rPr>
          <w:lang w:val="nl-BE"/>
        </w:rPr>
      </w:pPr>
      <w:r w:rsidRPr="0069784D">
        <w:rPr>
          <w:lang w:val="nl-BE"/>
        </w:rPr>
        <w:t xml:space="preserve">Bovendien bestond er een vermoeden van geweld voor alle handelingen van penetratie of poging tot penetratie, wat met de handeling zelf gelijkgesteld werd, wanneer het ging om een slachtoffer jonger dan 14 jaar. </w:t>
      </w:r>
    </w:p>
    <w:p w14:paraId="103A863D" w14:textId="41A1AF9F" w:rsidR="009B112A" w:rsidRPr="0069784D" w:rsidRDefault="009B112A" w:rsidP="009C15CF">
      <w:pPr>
        <w:jc w:val="both"/>
        <w:rPr>
          <w:lang w:val="nl-BE"/>
        </w:rPr>
      </w:pPr>
      <w:r w:rsidRPr="0069784D">
        <w:rPr>
          <w:lang w:val="nl-BE"/>
        </w:rPr>
        <w:t>De tenlastelegging ‘verkrachting’</w:t>
      </w:r>
      <w:r w:rsidR="005055D8">
        <w:rPr>
          <w:lang w:val="nl-BE"/>
        </w:rPr>
        <w:t xml:space="preserve"> veronderstelde</w:t>
      </w:r>
      <w:r w:rsidRPr="0069784D">
        <w:rPr>
          <w:lang w:val="nl-BE"/>
        </w:rPr>
        <w:t xml:space="preserve"> een penetratie waarmee niet ingestemd werd. In lid 2 van artikel 375 van het Strafwetboek werd hierover verder het volgende bepaald: “</w:t>
      </w:r>
      <w:r w:rsidRPr="0069784D">
        <w:rPr>
          <w:i/>
          <w:iCs/>
          <w:lang w:val="nl-BE"/>
        </w:rPr>
        <w:t>T</w:t>
      </w:r>
      <w:r w:rsidRPr="0069784D">
        <w:rPr>
          <w:i/>
          <w:iCs/>
          <w:color w:val="000000"/>
          <w:lang w:val="nl-BE"/>
        </w:rPr>
        <w:t>oestemming is er met name niet wanneer de daad is opgedrongen door middel van geweld, dwang, bedreiging, verrassing of list of mogelijk is gemaakt door een onvolwaardigheid of een lichamelijk of een geestelijk gebrek van het slachtoffer.”</w:t>
      </w:r>
      <w:r w:rsidRPr="0069784D">
        <w:rPr>
          <w:lang w:val="nl-BE"/>
        </w:rPr>
        <w:t xml:space="preserve"> </w:t>
      </w:r>
    </w:p>
    <w:p w14:paraId="303C86D7" w14:textId="605F3470" w:rsidR="009B112A" w:rsidRPr="0069784D" w:rsidRDefault="005055D8" w:rsidP="009C15CF">
      <w:pPr>
        <w:jc w:val="both"/>
        <w:rPr>
          <w:lang w:val="nl-BE"/>
        </w:rPr>
      </w:pPr>
      <w:r>
        <w:rPr>
          <w:lang w:val="nl-BE"/>
        </w:rPr>
        <w:t>‘Met name’ impliceerde</w:t>
      </w:r>
      <w:r w:rsidR="009B112A" w:rsidRPr="0069784D">
        <w:rPr>
          <w:lang w:val="nl-BE"/>
        </w:rPr>
        <w:t xml:space="preserve"> dat deze opsomming niet volledig is. </w:t>
      </w:r>
    </w:p>
    <w:p w14:paraId="1D0DA4D3" w14:textId="3F952AF7" w:rsidR="009B112A" w:rsidRPr="0069784D" w:rsidRDefault="009B112A" w:rsidP="009C15CF">
      <w:pPr>
        <w:jc w:val="both"/>
        <w:rPr>
          <w:lang w:val="nl-BE"/>
        </w:rPr>
      </w:pPr>
      <w:r w:rsidRPr="0069784D">
        <w:rPr>
          <w:lang w:val="nl-BE"/>
        </w:rPr>
        <w:t xml:space="preserve">De rechtbanken konden er zo van uitgaan dat er geen sprake van toestemming was wanneer het slachtoffer zich in een toestand bevond </w:t>
      </w:r>
      <w:r w:rsidR="005055D8">
        <w:rPr>
          <w:lang w:val="nl-BE"/>
        </w:rPr>
        <w:t>die hem niet toeliet om toe te stemmen</w:t>
      </w:r>
      <w:r w:rsidRPr="0069784D">
        <w:rPr>
          <w:lang w:val="nl-BE"/>
        </w:rPr>
        <w:t xml:space="preserve">, met name wanneer </w:t>
      </w:r>
      <w:r w:rsidRPr="0069784D">
        <w:rPr>
          <w:lang w:val="nl-BE"/>
        </w:rPr>
        <w:lastRenderedPageBreak/>
        <w:t xml:space="preserve">betrokkene volledig onder de invloed van alcohol en bewusteloos was, en dus op geen enkele manier vrijwillig kon toestemmen of zich verzetten. </w:t>
      </w:r>
    </w:p>
    <w:p w14:paraId="2F78E767" w14:textId="181F9D0A" w:rsidR="009B112A" w:rsidRPr="0069784D" w:rsidRDefault="009B112A" w:rsidP="009C15CF">
      <w:pPr>
        <w:jc w:val="both"/>
        <w:rPr>
          <w:lang w:val="nl-BE"/>
        </w:rPr>
      </w:pPr>
      <w:r w:rsidRPr="0069784D">
        <w:rPr>
          <w:lang w:val="nl-BE"/>
        </w:rPr>
        <w:t xml:space="preserve">De rechtbanken konden de afwezigheid van toestemming door verrassing of list </w:t>
      </w:r>
      <w:r w:rsidR="0065527A" w:rsidRPr="0069784D">
        <w:rPr>
          <w:lang w:val="nl-BE"/>
        </w:rPr>
        <w:t xml:space="preserve">bovendien </w:t>
      </w:r>
      <w:r w:rsidRPr="0069784D">
        <w:rPr>
          <w:lang w:val="nl-BE"/>
        </w:rPr>
        <w:t xml:space="preserve">verantwoorden bij een slachtoffer dat deelnam aan </w:t>
      </w:r>
      <w:r w:rsidR="00552C66" w:rsidRPr="0069784D">
        <w:rPr>
          <w:lang w:val="nl-BE"/>
        </w:rPr>
        <w:t>een groepsverkrachting</w:t>
      </w:r>
      <w:r w:rsidRPr="0069784D">
        <w:rPr>
          <w:lang w:val="nl-BE"/>
        </w:rPr>
        <w:t xml:space="preserve"> omwille van de morele dwang die één van de daders op hem of haar uitoefende ten gevolge van het feit dat hij of zij het slachtoffer in zijn greep had, psychologisch manipuleerde en, meer in het bijzonder, emotioneel chanteerde</w:t>
      </w:r>
      <w:r w:rsidR="00F050A4" w:rsidRPr="0069784D">
        <w:rPr>
          <w:rStyle w:val="FootnoteReference"/>
          <w:lang w:val="nl-BE"/>
        </w:rPr>
        <w:footnoteReference w:customMarkFollows="1" w:id="7"/>
        <w:t>7</w:t>
      </w:r>
      <w:r w:rsidRPr="0069784D">
        <w:rPr>
          <w:lang w:val="nl-BE"/>
        </w:rPr>
        <w:t>.</w:t>
      </w:r>
    </w:p>
    <w:p w14:paraId="4C522F76" w14:textId="4E3C87FD" w:rsidR="009B112A" w:rsidRPr="0069784D" w:rsidRDefault="009B112A" w:rsidP="009C15CF">
      <w:pPr>
        <w:jc w:val="both"/>
        <w:rPr>
          <w:lang w:val="nl-BE"/>
        </w:rPr>
      </w:pPr>
      <w:r w:rsidRPr="0069784D">
        <w:rPr>
          <w:lang w:val="nl-BE"/>
        </w:rPr>
        <w:t xml:space="preserve">Aangezien de rechtbank niet alleen de afwezigheid van toestemming diende te motiveren maar ook het feit dat </w:t>
      </w:r>
      <w:r w:rsidR="00012508" w:rsidRPr="0069784D">
        <w:rPr>
          <w:lang w:val="nl-BE"/>
        </w:rPr>
        <w:t>de beklaagde</w:t>
      </w:r>
      <w:r w:rsidRPr="0069784D">
        <w:rPr>
          <w:lang w:val="nl-BE"/>
        </w:rPr>
        <w:t xml:space="preserve"> zich hier wel degelijk van bewust was, kon de passieve houding van een slachtoffer dat zonder reactie bleef ten gevolge van een algemene toestand van verstarring tot een vrijspraak leiden, en dan vooral wanneer er evenmin sporen voorhanden waren die zouden kunnen bewijzen dat betrokkene zich fysiek ver</w:t>
      </w:r>
      <w:r w:rsidR="00F050A4" w:rsidRPr="0069784D">
        <w:rPr>
          <w:lang w:val="nl-BE"/>
        </w:rPr>
        <w:t>w</w:t>
      </w:r>
      <w:r w:rsidRPr="0069784D">
        <w:rPr>
          <w:lang w:val="nl-BE"/>
        </w:rPr>
        <w:t xml:space="preserve">eerd had. </w:t>
      </w:r>
    </w:p>
    <w:p w14:paraId="0339C6A9" w14:textId="77777777" w:rsidR="00D34618" w:rsidRPr="0069784D" w:rsidRDefault="00D34618" w:rsidP="009C15CF">
      <w:pPr>
        <w:jc w:val="both"/>
        <w:rPr>
          <w:lang w:val="nl-BE"/>
        </w:rPr>
      </w:pPr>
    </w:p>
    <w:p w14:paraId="2897D5B2" w14:textId="77777777" w:rsidR="009B112A" w:rsidRPr="0069784D" w:rsidRDefault="009B112A" w:rsidP="009C15CF">
      <w:pPr>
        <w:jc w:val="both"/>
        <w:rPr>
          <w:bCs/>
          <w:sz w:val="32"/>
          <w:szCs w:val="32"/>
          <w:lang w:val="nl-BE"/>
        </w:rPr>
      </w:pPr>
      <w:r w:rsidRPr="0069784D">
        <w:rPr>
          <w:bCs/>
          <w:sz w:val="32"/>
          <w:szCs w:val="32"/>
          <w:lang w:val="nl-BE"/>
        </w:rPr>
        <w:t>Artikel 417/5 - Toestemming</w:t>
      </w:r>
    </w:p>
    <w:p w14:paraId="63EDC3E9" w14:textId="77777777" w:rsidR="009B112A" w:rsidRPr="0069784D" w:rsidRDefault="009B112A" w:rsidP="009C15CF">
      <w:pPr>
        <w:spacing w:after="0"/>
        <w:jc w:val="both"/>
        <w:rPr>
          <w:lang w:val="nl-BE"/>
        </w:rPr>
      </w:pPr>
    </w:p>
    <w:p w14:paraId="3381AEF7"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417/5 - Definitie van toestemming met betrekking tot het seksueel zelfbeschikkingsrecht</w:t>
      </w:r>
    </w:p>
    <w:p w14:paraId="11221419"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Toestemming veronderstelt dat deze uit vrije wil is gegeven. Dit wordt beoordeeld in het licht van de omstandigheden van de zaak. De toestemming kan niet worden afgeleid uit de loutere ontstentenis van verweer van het slachtoffer. De toestemming kan worden ingetrokken op elk ogenblik voor of tijdens de seksuele handeling.</w:t>
      </w:r>
    </w:p>
    <w:p w14:paraId="6369B8CE"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Toestemming is er niet wanneer de seksuele handeling is gepleegd door gebruik te maken van de kwetsbare toestand van het slachtoffer ten gevolge van onder meer angst, invloed van alcohol, verdovende middelen, psychotrope stoffen of enige andere substantie met een soortgelijke uitwerking, een ziekte of een handicapsituatie, waardoor de vrije wil is aangetast.</w:t>
      </w:r>
    </w:p>
    <w:p w14:paraId="69E399BD"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Toestemming is er in ieder geval niet indien de seksuele handeling het gevolg is van een bedreiging, fysiek of psychisch geweld, dwang, verrassing, list of van enige andere strafbare gedraging.</w:t>
      </w:r>
    </w:p>
    <w:p w14:paraId="5B8DDEDF"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Toestemming is er in ieder geval niet wanneer de seksuele handeling is gepleegd ten nadele van een bewusteloos of slapend slachtoffer.</w:t>
      </w:r>
    </w:p>
    <w:p w14:paraId="6CABEA79" w14:textId="3F173660" w:rsidR="009B112A" w:rsidRPr="0069784D" w:rsidRDefault="009B112A" w:rsidP="009C15CF">
      <w:pPr>
        <w:jc w:val="both"/>
        <w:rPr>
          <w:lang w:val="nl-BE"/>
        </w:rPr>
      </w:pPr>
      <w:r w:rsidRPr="0069784D">
        <w:rPr>
          <w:lang w:val="nl-BE"/>
        </w:rPr>
        <w:t>De t</w:t>
      </w:r>
      <w:r w:rsidR="00862E50">
        <w:rPr>
          <w:lang w:val="nl-BE"/>
        </w:rPr>
        <w:t xml:space="preserve">oestemming wordt beschouwd als </w:t>
      </w:r>
      <w:r w:rsidRPr="0069784D">
        <w:rPr>
          <w:lang w:val="nl-BE"/>
        </w:rPr>
        <w:t>voor alle seksuele handelingen.</w:t>
      </w:r>
    </w:p>
    <w:p w14:paraId="1A4F1F84" w14:textId="14237642" w:rsidR="009B112A" w:rsidRPr="0069784D" w:rsidRDefault="009B112A" w:rsidP="009C15CF">
      <w:pPr>
        <w:jc w:val="both"/>
        <w:rPr>
          <w:color w:val="000000"/>
          <w:lang w:val="nl-BE"/>
        </w:rPr>
      </w:pPr>
      <w:r w:rsidRPr="0069784D">
        <w:rPr>
          <w:color w:val="000000"/>
          <w:lang w:val="nl-BE"/>
        </w:rPr>
        <w:t>In de nieuwe wet wordt het begrip ‘toestemming’ als een vrij</w:t>
      </w:r>
      <w:r w:rsidR="00552C66" w:rsidRPr="0069784D">
        <w:rPr>
          <w:color w:val="000000"/>
          <w:lang w:val="nl-BE"/>
        </w:rPr>
        <w:t>willig</w:t>
      </w:r>
      <w:r w:rsidRPr="0069784D">
        <w:rPr>
          <w:color w:val="000000"/>
          <w:lang w:val="nl-BE"/>
        </w:rPr>
        <w:t xml:space="preserve"> gegeven akkoord gedefinieerd.</w:t>
      </w:r>
    </w:p>
    <w:p w14:paraId="6878D2A8" w14:textId="24BDF53D" w:rsidR="009B112A" w:rsidRPr="0069784D" w:rsidRDefault="009B112A" w:rsidP="009C15CF">
      <w:pPr>
        <w:jc w:val="both"/>
        <w:rPr>
          <w:lang w:val="nl-BE"/>
        </w:rPr>
      </w:pPr>
      <w:r w:rsidRPr="0069784D">
        <w:rPr>
          <w:lang w:val="nl-BE"/>
        </w:rPr>
        <w:t>De wetgever stelt dat deze toestemming op verschillende manieren gegeven kan worden, ook non-verbaal</w:t>
      </w:r>
      <w:r w:rsidR="00F050A4" w:rsidRPr="0069784D">
        <w:rPr>
          <w:rStyle w:val="FootnoteReference"/>
          <w:lang w:val="nl-BE"/>
        </w:rPr>
        <w:footnoteReference w:customMarkFollows="1" w:id="8"/>
        <w:t>8</w:t>
      </w:r>
      <w:r w:rsidRPr="0069784D">
        <w:rPr>
          <w:lang w:val="nl-BE"/>
        </w:rPr>
        <w:t>.</w:t>
      </w:r>
    </w:p>
    <w:p w14:paraId="7E3670B6" w14:textId="1DFF6545" w:rsidR="009B112A" w:rsidRPr="0069784D" w:rsidRDefault="009B112A" w:rsidP="009C15CF">
      <w:pPr>
        <w:jc w:val="both"/>
        <w:rPr>
          <w:rFonts w:cstheme="minorHAnsi"/>
          <w:lang w:val="nl-BE"/>
        </w:rPr>
      </w:pPr>
      <w:r w:rsidRPr="0069784D">
        <w:rPr>
          <w:rFonts w:cstheme="minorHAnsi"/>
          <w:lang w:val="nl-BE"/>
        </w:rPr>
        <w:t xml:space="preserve">Ook wordt rekening gehouden met nieuwe wetenschappelijke kennis over de zgn. </w:t>
      </w:r>
      <w:r w:rsidRPr="0069784D">
        <w:rPr>
          <w:rFonts w:cstheme="minorHAnsi"/>
          <w:i/>
          <w:iCs/>
          <w:lang w:val="nl-BE"/>
        </w:rPr>
        <w:t>rape-induced paralysis</w:t>
      </w:r>
      <w:r w:rsidRPr="0069784D">
        <w:rPr>
          <w:rFonts w:cstheme="minorHAnsi"/>
          <w:lang w:val="nl-BE"/>
        </w:rPr>
        <w:t xml:space="preserve"> van sommige slachtoffers en wordt uitdrukkelijk bepaald dat de toestemming </w:t>
      </w:r>
      <w:r w:rsidRPr="0069784D">
        <w:rPr>
          <w:rFonts w:cstheme="minorHAnsi"/>
          <w:b/>
          <w:bCs/>
          <w:lang w:val="nl-BE"/>
        </w:rPr>
        <w:t xml:space="preserve">niet afgeleid </w:t>
      </w:r>
      <w:r w:rsidRPr="0069784D">
        <w:rPr>
          <w:rFonts w:cstheme="minorHAnsi"/>
          <w:b/>
          <w:bCs/>
          <w:lang w:val="nl-BE"/>
        </w:rPr>
        <w:lastRenderedPageBreak/>
        <w:t xml:space="preserve">kan worden </w:t>
      </w:r>
      <w:r w:rsidR="003C024B" w:rsidRPr="00862E50">
        <w:rPr>
          <w:rFonts w:cstheme="minorHAnsi"/>
          <w:b/>
          <w:bCs/>
          <w:lang w:val="nl-BE"/>
        </w:rPr>
        <w:t>uit</w:t>
      </w:r>
      <w:r w:rsidR="003C024B">
        <w:rPr>
          <w:rFonts w:cstheme="minorHAnsi"/>
          <w:b/>
          <w:bCs/>
          <w:lang w:val="nl-BE"/>
        </w:rPr>
        <w:t xml:space="preserve"> </w:t>
      </w:r>
      <w:r w:rsidRPr="0069784D">
        <w:rPr>
          <w:rFonts w:cstheme="minorHAnsi"/>
          <w:b/>
          <w:bCs/>
          <w:lang w:val="nl-BE"/>
        </w:rPr>
        <w:t>de ontstentenis van verweer van het slachtoffer</w:t>
      </w:r>
      <w:r w:rsidRPr="0069784D">
        <w:rPr>
          <w:rFonts w:cstheme="minorHAnsi"/>
          <w:lang w:val="nl-BE"/>
        </w:rPr>
        <w:t xml:space="preserve">. De </w:t>
      </w:r>
      <w:r w:rsidR="003C024B" w:rsidRPr="00862E50">
        <w:rPr>
          <w:rFonts w:cstheme="minorHAnsi"/>
          <w:lang w:val="nl-BE"/>
        </w:rPr>
        <w:t xml:space="preserve">betrachting </w:t>
      </w:r>
      <w:r w:rsidRPr="0069784D">
        <w:rPr>
          <w:rFonts w:cstheme="minorHAnsi"/>
          <w:lang w:val="nl-BE"/>
        </w:rPr>
        <w:t xml:space="preserve">bestaat erin een mentaliteitsverandering teweeg te brengen. </w:t>
      </w:r>
    </w:p>
    <w:p w14:paraId="098EF5B9" w14:textId="0FD7F8C2" w:rsidR="009B112A" w:rsidRPr="0069784D" w:rsidRDefault="005C0779" w:rsidP="009C15CF">
      <w:pPr>
        <w:jc w:val="both"/>
        <w:rPr>
          <w:rFonts w:cstheme="minorHAnsi"/>
          <w:lang w:val="nl-BE"/>
        </w:rPr>
      </w:pPr>
      <w:r w:rsidRPr="00862E50">
        <w:rPr>
          <w:rFonts w:cstheme="minorHAnsi"/>
          <w:lang w:val="nl-BE"/>
        </w:rPr>
        <w:t>Eén en ander sluit overigens aan bij de rechtspraak van het Europees Hof voor de Rechten van de Mens, in die zin dat het Hof erkent</w:t>
      </w:r>
      <w:r w:rsidR="009B112A" w:rsidRPr="00862E50">
        <w:rPr>
          <w:rFonts w:cstheme="minorHAnsi"/>
          <w:lang w:val="nl-BE"/>
        </w:rPr>
        <w:t xml:space="preserve"> dat </w:t>
      </w:r>
      <w:r w:rsidR="009B112A" w:rsidRPr="0069784D">
        <w:rPr>
          <w:rFonts w:cstheme="minorHAnsi"/>
          <w:lang w:val="nl-BE"/>
        </w:rPr>
        <w:t>het weliswaar vaak problematisch is om de afwezigheid van toestemming te bewijzen, maar dat de vervolgende overheden niettemin verplicht zijn om alle feiten te analyseren en uitspraak te doen na een beoordeling van alle omstandigheden waaruit zou kunnen blijken dat een vrijwillig gegeven toestemming onmogelijk was</w:t>
      </w:r>
      <w:r w:rsidR="00F050A4" w:rsidRPr="0069784D">
        <w:rPr>
          <w:rStyle w:val="FootnoteReference"/>
          <w:rFonts w:cstheme="minorHAnsi"/>
          <w:lang w:val="nl-BE"/>
        </w:rPr>
        <w:footnoteReference w:customMarkFollows="1" w:id="9"/>
        <w:t>9</w:t>
      </w:r>
      <w:r w:rsidR="009B112A" w:rsidRPr="0069784D">
        <w:rPr>
          <w:rFonts w:cstheme="minorHAnsi"/>
          <w:lang w:val="nl-BE"/>
        </w:rPr>
        <w:t>.</w:t>
      </w:r>
    </w:p>
    <w:p w14:paraId="4C757A92" w14:textId="1030083B" w:rsidR="009B112A" w:rsidRPr="0069784D" w:rsidRDefault="009B112A" w:rsidP="009C15CF">
      <w:pPr>
        <w:jc w:val="both"/>
        <w:rPr>
          <w:rFonts w:cstheme="minorHAnsi"/>
          <w:lang w:val="nl-BE"/>
        </w:rPr>
      </w:pPr>
      <w:r w:rsidRPr="0069784D">
        <w:rPr>
          <w:rFonts w:cstheme="minorHAnsi"/>
          <w:lang w:val="nl-BE"/>
        </w:rPr>
        <w:t xml:space="preserve">Vervolgens wordt een </w:t>
      </w:r>
      <w:r w:rsidRPr="0069784D">
        <w:rPr>
          <w:rFonts w:cstheme="minorHAnsi"/>
          <w:b/>
          <w:bCs/>
          <w:lang w:val="nl-BE"/>
        </w:rPr>
        <w:t>niet-limitatieve lijst</w:t>
      </w:r>
      <w:r w:rsidRPr="0069784D">
        <w:rPr>
          <w:rFonts w:cstheme="minorHAnsi"/>
          <w:lang w:val="nl-BE"/>
        </w:rPr>
        <w:t xml:space="preserve"> gegeven met voorbeelden van omstandigheden waarin er geen sprake </w:t>
      </w:r>
      <w:r w:rsidR="005C0779" w:rsidRPr="00862E50">
        <w:rPr>
          <w:rFonts w:cstheme="minorHAnsi"/>
          <w:lang w:val="nl-BE"/>
        </w:rPr>
        <w:t xml:space="preserve">kan zijn </w:t>
      </w:r>
      <w:r w:rsidRPr="0069784D">
        <w:rPr>
          <w:rFonts w:cstheme="minorHAnsi"/>
          <w:lang w:val="nl-BE"/>
        </w:rPr>
        <w:t>van een vrijwillig gegeven toestemming:</w:t>
      </w:r>
    </w:p>
    <w:p w14:paraId="51EC0E00" w14:textId="77777777" w:rsidR="009B112A" w:rsidRPr="0069784D" w:rsidRDefault="009B112A" w:rsidP="009C15CF">
      <w:pPr>
        <w:pStyle w:val="ListParagraph"/>
        <w:numPr>
          <w:ilvl w:val="0"/>
          <w:numId w:val="4"/>
        </w:numPr>
        <w:jc w:val="both"/>
        <w:rPr>
          <w:rFonts w:cstheme="minorHAnsi"/>
          <w:lang w:val="nl-BE"/>
        </w:rPr>
      </w:pPr>
      <w:r w:rsidRPr="0069784D">
        <w:rPr>
          <w:rFonts w:cstheme="minorHAnsi"/>
          <w:b/>
          <w:lang w:val="nl-BE"/>
        </w:rPr>
        <w:t>Misbruik van kwetsbaarheid</w:t>
      </w:r>
    </w:p>
    <w:p w14:paraId="67E20378" w14:textId="26841822" w:rsidR="009B112A" w:rsidRPr="0069784D" w:rsidRDefault="009B112A" w:rsidP="009C15CF">
      <w:pPr>
        <w:jc w:val="both"/>
        <w:rPr>
          <w:rFonts w:cstheme="minorHAnsi"/>
          <w:lang w:val="nl-BE"/>
        </w:rPr>
      </w:pPr>
      <w:r w:rsidRPr="0069784D">
        <w:rPr>
          <w:rFonts w:cstheme="minorHAnsi"/>
          <w:lang w:val="nl-BE"/>
        </w:rPr>
        <w:t>De bewoording</w:t>
      </w:r>
      <w:r w:rsidR="005C0779" w:rsidRPr="00862E50">
        <w:rPr>
          <w:rFonts w:cstheme="minorHAnsi"/>
          <w:lang w:val="nl-BE"/>
        </w:rPr>
        <w:t>en</w:t>
      </w:r>
      <w:r w:rsidRPr="0069784D">
        <w:rPr>
          <w:rFonts w:cstheme="minorHAnsi"/>
          <w:lang w:val="nl-BE"/>
        </w:rPr>
        <w:t xml:space="preserve"> ‘door gebruik te maken van’ werd</w:t>
      </w:r>
      <w:r w:rsidR="005C0779" w:rsidRPr="00862E50">
        <w:rPr>
          <w:rFonts w:cstheme="minorHAnsi"/>
          <w:lang w:val="nl-BE"/>
        </w:rPr>
        <w:t>en</w:t>
      </w:r>
      <w:r w:rsidRPr="0069784D">
        <w:rPr>
          <w:rFonts w:cstheme="minorHAnsi"/>
          <w:lang w:val="nl-BE"/>
        </w:rPr>
        <w:t xml:space="preserve"> </w:t>
      </w:r>
      <w:r w:rsidR="00012508" w:rsidRPr="0069784D">
        <w:rPr>
          <w:rFonts w:cstheme="minorHAnsi"/>
          <w:lang w:val="nl-BE"/>
        </w:rPr>
        <w:t xml:space="preserve">doelbewust </w:t>
      </w:r>
      <w:r w:rsidRPr="0069784D">
        <w:rPr>
          <w:rFonts w:cstheme="minorHAnsi"/>
          <w:lang w:val="nl-BE"/>
        </w:rPr>
        <w:t xml:space="preserve">aan de definitie toegevoegd. </w:t>
      </w:r>
    </w:p>
    <w:p w14:paraId="64ABFAE4" w14:textId="19BCBCEA" w:rsidR="009B112A" w:rsidRPr="0069784D" w:rsidRDefault="009B112A" w:rsidP="009C15CF">
      <w:pPr>
        <w:jc w:val="both"/>
        <w:rPr>
          <w:rFonts w:cstheme="minorHAnsi"/>
          <w:lang w:val="nl-BE"/>
        </w:rPr>
      </w:pPr>
      <w:r w:rsidRPr="0069784D">
        <w:rPr>
          <w:rFonts w:cstheme="minorHAnsi"/>
          <w:lang w:val="nl-BE"/>
        </w:rPr>
        <w:t xml:space="preserve">De besprekingen die </w:t>
      </w:r>
      <w:r w:rsidR="005C0779" w:rsidRPr="00862E50">
        <w:rPr>
          <w:rFonts w:cstheme="minorHAnsi"/>
          <w:lang w:val="nl-BE"/>
        </w:rPr>
        <w:t>aan</w:t>
      </w:r>
      <w:r w:rsidR="005C0779" w:rsidRPr="005C0779">
        <w:rPr>
          <w:rFonts w:cstheme="minorHAnsi"/>
          <w:color w:val="FF0000"/>
          <w:lang w:val="nl-BE"/>
        </w:rPr>
        <w:t xml:space="preserve"> </w:t>
      </w:r>
      <w:r w:rsidRPr="0069784D">
        <w:rPr>
          <w:rFonts w:cstheme="minorHAnsi"/>
          <w:lang w:val="nl-BE"/>
        </w:rPr>
        <w:t>de unanieme aanname van amendement 142</w:t>
      </w:r>
      <w:r w:rsidRPr="00852094">
        <w:rPr>
          <w:rFonts w:cstheme="minorHAnsi"/>
          <w:color w:val="FF0000"/>
          <w:lang w:val="nl-BE"/>
        </w:rPr>
        <w:t xml:space="preserve"> </w:t>
      </w:r>
      <w:r w:rsidR="00852094" w:rsidRPr="00852094">
        <w:rPr>
          <w:rFonts w:cstheme="minorHAnsi"/>
          <w:color w:val="FF0000"/>
          <w:lang w:val="nl-BE"/>
        </w:rPr>
        <w:t>-</w:t>
      </w:r>
      <w:r w:rsidRPr="0069784D">
        <w:rPr>
          <w:rFonts w:cstheme="minorHAnsi"/>
          <w:lang w:val="nl-BE"/>
        </w:rPr>
        <w:t xml:space="preserve">waarvan de verantwoording </w:t>
      </w:r>
      <w:r w:rsidR="0069255C" w:rsidRPr="00862E50">
        <w:rPr>
          <w:rFonts w:cstheme="minorHAnsi"/>
          <w:lang w:val="nl-BE"/>
        </w:rPr>
        <w:t xml:space="preserve">overigens </w:t>
      </w:r>
      <w:r w:rsidR="00852094" w:rsidRPr="00862E50">
        <w:rPr>
          <w:rFonts w:cstheme="minorHAnsi"/>
          <w:lang w:val="nl-BE"/>
        </w:rPr>
        <w:t xml:space="preserve">ook al </w:t>
      </w:r>
      <w:r w:rsidRPr="00862E50">
        <w:rPr>
          <w:rFonts w:cstheme="minorHAnsi"/>
          <w:lang w:val="nl-BE"/>
        </w:rPr>
        <w:t xml:space="preserve">niet al te </w:t>
      </w:r>
      <w:r w:rsidR="00852094" w:rsidRPr="00862E50">
        <w:rPr>
          <w:rFonts w:cstheme="minorHAnsi"/>
          <w:lang w:val="nl-BE"/>
        </w:rPr>
        <w:t>helder was</w:t>
      </w:r>
      <w:r w:rsidR="00F050A4" w:rsidRPr="00862E50">
        <w:rPr>
          <w:rStyle w:val="FootnoteReference"/>
          <w:rFonts w:cstheme="minorHAnsi"/>
          <w:lang w:val="nl-BE"/>
        </w:rPr>
        <w:footnoteReference w:customMarkFollows="1" w:id="10"/>
        <w:t>10</w:t>
      </w:r>
      <w:r w:rsidR="00852094" w:rsidRPr="00862E50">
        <w:rPr>
          <w:rFonts w:cstheme="minorHAnsi"/>
          <w:lang w:val="nl-BE"/>
        </w:rPr>
        <w:t>-</w:t>
      </w:r>
      <w:r w:rsidRPr="00862E50">
        <w:rPr>
          <w:rFonts w:cstheme="minorHAnsi"/>
          <w:lang w:val="nl-BE"/>
        </w:rPr>
        <w:t xml:space="preserve"> </w:t>
      </w:r>
      <w:r w:rsidR="00852094" w:rsidRPr="00862E50">
        <w:rPr>
          <w:rFonts w:cstheme="minorHAnsi"/>
          <w:lang w:val="nl-BE"/>
        </w:rPr>
        <w:t xml:space="preserve">voorafgingen, </w:t>
      </w:r>
      <w:r w:rsidRPr="00862E50">
        <w:rPr>
          <w:rFonts w:cstheme="minorHAnsi"/>
          <w:lang w:val="nl-BE"/>
        </w:rPr>
        <w:t xml:space="preserve">laten </w:t>
      </w:r>
      <w:r w:rsidR="0069255C" w:rsidRPr="00862E50">
        <w:rPr>
          <w:rFonts w:cstheme="minorHAnsi"/>
          <w:lang w:val="nl-BE"/>
        </w:rPr>
        <w:t xml:space="preserve">evenwel </w:t>
      </w:r>
      <w:r w:rsidRPr="00862E50">
        <w:rPr>
          <w:rFonts w:cstheme="minorHAnsi"/>
          <w:lang w:val="nl-BE"/>
        </w:rPr>
        <w:t>aan duidelijkheid te wensen over</w:t>
      </w:r>
      <w:r w:rsidRPr="00862E50">
        <w:rPr>
          <w:rStyle w:val="FootnoteReference"/>
          <w:rFonts w:cstheme="minorHAnsi"/>
          <w:lang w:val="nl-BE"/>
        </w:rPr>
        <w:t xml:space="preserve"> </w:t>
      </w:r>
      <w:r w:rsidR="00852094" w:rsidRPr="00862E50">
        <w:rPr>
          <w:rFonts w:cstheme="minorHAnsi"/>
          <w:lang w:val="nl-BE"/>
        </w:rPr>
        <w:t>.</w:t>
      </w:r>
      <w:r w:rsidR="00F050A4" w:rsidRPr="00862E50">
        <w:rPr>
          <w:rStyle w:val="FootnoteReference"/>
          <w:rFonts w:cstheme="minorHAnsi"/>
          <w:lang w:val="nl-BE"/>
        </w:rPr>
        <w:footnoteReference w:customMarkFollows="1" w:id="11"/>
        <w:t>11</w:t>
      </w:r>
    </w:p>
    <w:p w14:paraId="34C4F70A" w14:textId="31AFF429" w:rsidR="009B112A" w:rsidRPr="0069784D" w:rsidRDefault="009B112A" w:rsidP="009C15CF">
      <w:pPr>
        <w:jc w:val="both"/>
        <w:rPr>
          <w:rFonts w:cstheme="minorHAnsi"/>
          <w:lang w:val="nl-BE"/>
        </w:rPr>
      </w:pPr>
      <w:r w:rsidRPr="0069784D">
        <w:rPr>
          <w:rFonts w:cstheme="minorHAnsi"/>
          <w:lang w:val="nl-BE"/>
        </w:rPr>
        <w:t>Deze bepaling, die dus de bewoording</w:t>
      </w:r>
      <w:r w:rsidR="00852094" w:rsidRPr="00862E50">
        <w:rPr>
          <w:rFonts w:cstheme="minorHAnsi"/>
          <w:lang w:val="nl-BE"/>
        </w:rPr>
        <w:t>en</w:t>
      </w:r>
      <w:r w:rsidRPr="0069784D">
        <w:rPr>
          <w:rFonts w:cstheme="minorHAnsi"/>
          <w:lang w:val="nl-BE"/>
        </w:rPr>
        <w:t xml:space="preserve"> ‘door gebruik te maken van’ </w:t>
      </w:r>
      <w:r w:rsidR="00F050A4" w:rsidRPr="00862E50">
        <w:rPr>
          <w:rFonts w:cstheme="minorHAnsi"/>
          <w:lang w:val="nl-BE"/>
        </w:rPr>
        <w:t>bevat</w:t>
      </w:r>
      <w:r w:rsidR="00852094" w:rsidRPr="00862E50">
        <w:rPr>
          <w:rFonts w:cstheme="minorHAnsi"/>
          <w:lang w:val="nl-BE"/>
        </w:rPr>
        <w:t xml:space="preserve">, dewelke </w:t>
      </w:r>
      <w:r w:rsidRPr="00862E50">
        <w:rPr>
          <w:rFonts w:cstheme="minorHAnsi"/>
          <w:lang w:val="nl-BE"/>
        </w:rPr>
        <w:t>niet voork</w:t>
      </w:r>
      <w:r w:rsidR="00852094" w:rsidRPr="00862E50">
        <w:rPr>
          <w:rFonts w:cstheme="minorHAnsi"/>
          <w:lang w:val="nl-BE"/>
        </w:rPr>
        <w:t>wamen</w:t>
      </w:r>
      <w:r w:rsidRPr="00862E50">
        <w:rPr>
          <w:rFonts w:cstheme="minorHAnsi"/>
          <w:lang w:val="nl-BE"/>
        </w:rPr>
        <w:t xml:space="preserve"> in het wetsontwerp, is daarentegen </w:t>
      </w:r>
      <w:r w:rsidR="00552C66" w:rsidRPr="00862E50">
        <w:rPr>
          <w:rFonts w:cstheme="minorHAnsi"/>
          <w:lang w:val="nl-BE"/>
        </w:rPr>
        <w:t>over</w:t>
      </w:r>
      <w:r w:rsidRPr="00862E50">
        <w:rPr>
          <w:rFonts w:cstheme="minorHAnsi"/>
          <w:lang w:val="nl-BE"/>
        </w:rPr>
        <w:t xml:space="preserve">duidelijk en </w:t>
      </w:r>
      <w:r w:rsidR="00852094" w:rsidRPr="00862E50">
        <w:rPr>
          <w:rFonts w:cstheme="minorHAnsi"/>
          <w:lang w:val="nl-BE"/>
        </w:rPr>
        <w:t xml:space="preserve">laat toe te besluiten </w:t>
      </w:r>
      <w:r w:rsidRPr="00862E50">
        <w:rPr>
          <w:rFonts w:cstheme="minorHAnsi"/>
          <w:lang w:val="nl-BE"/>
        </w:rPr>
        <w:t xml:space="preserve">dat het </w:t>
      </w:r>
      <w:r w:rsidRPr="00862E50">
        <w:rPr>
          <w:rFonts w:cstheme="minorHAnsi"/>
          <w:strike/>
          <w:lang w:val="nl-BE"/>
        </w:rPr>
        <w:t xml:space="preserve">niet </w:t>
      </w:r>
      <w:r w:rsidR="00852094" w:rsidRPr="00862E50">
        <w:rPr>
          <w:rFonts w:cstheme="minorHAnsi"/>
          <w:lang w:val="nl-BE"/>
        </w:rPr>
        <w:t xml:space="preserve">gegeven </w:t>
      </w:r>
      <w:r w:rsidRPr="00862E50">
        <w:rPr>
          <w:rFonts w:cstheme="minorHAnsi"/>
          <w:lang w:val="nl-BE"/>
        </w:rPr>
        <w:t xml:space="preserve">dat het slachtoffer zich in een bijzondere kwetsbare situatie bevindt </w:t>
      </w:r>
      <w:r w:rsidR="00852094" w:rsidRPr="00862E50">
        <w:rPr>
          <w:rFonts w:cstheme="minorHAnsi"/>
          <w:lang w:val="nl-BE"/>
        </w:rPr>
        <w:t xml:space="preserve">(op zich) niet volstaat </w:t>
      </w:r>
      <w:r w:rsidRPr="0069784D">
        <w:rPr>
          <w:rFonts w:cstheme="minorHAnsi"/>
          <w:lang w:val="nl-BE"/>
        </w:rPr>
        <w:t xml:space="preserve">om er </w:t>
      </w:r>
      <w:r w:rsidR="00852094" w:rsidRPr="00862E50">
        <w:rPr>
          <w:rFonts w:cstheme="minorHAnsi"/>
          <w:lang w:val="nl-BE"/>
        </w:rPr>
        <w:t xml:space="preserve">een </w:t>
      </w:r>
      <w:r w:rsidRPr="0069784D">
        <w:rPr>
          <w:rFonts w:cstheme="minorHAnsi"/>
          <w:lang w:val="nl-BE"/>
        </w:rPr>
        <w:t xml:space="preserve">gebrek aan toestemming uit af te kunnen leiden. Er moet </w:t>
      </w:r>
      <w:r w:rsidR="006E5B9A" w:rsidRPr="00862E50">
        <w:rPr>
          <w:rFonts w:cstheme="minorHAnsi"/>
          <w:lang w:val="nl-BE"/>
        </w:rPr>
        <w:t>daarentegen</w:t>
      </w:r>
      <w:r w:rsidR="006E5B9A">
        <w:rPr>
          <w:rFonts w:cstheme="minorHAnsi"/>
          <w:lang w:val="nl-BE"/>
        </w:rPr>
        <w:t xml:space="preserve"> </w:t>
      </w:r>
      <w:r w:rsidRPr="0069784D">
        <w:rPr>
          <w:rFonts w:cstheme="minorHAnsi"/>
          <w:lang w:val="nl-BE"/>
        </w:rPr>
        <w:t xml:space="preserve">aangetoond worden dat de dader </w:t>
      </w:r>
      <w:r w:rsidRPr="0069784D">
        <w:rPr>
          <w:rFonts w:cstheme="minorHAnsi"/>
          <w:b/>
          <w:bCs/>
          <w:lang w:val="nl-BE"/>
        </w:rPr>
        <w:t>misbruik van deze kwetsbare situatie</w:t>
      </w:r>
      <w:r w:rsidRPr="0069784D">
        <w:rPr>
          <w:rFonts w:cstheme="minorHAnsi"/>
          <w:lang w:val="nl-BE"/>
        </w:rPr>
        <w:t xml:space="preserve"> gemaakt heeft, en </w:t>
      </w:r>
      <w:r w:rsidR="006E5B9A">
        <w:rPr>
          <w:rFonts w:cstheme="minorHAnsi"/>
          <w:lang w:val="nl-BE"/>
        </w:rPr>
        <w:t xml:space="preserve">de bewijslast </w:t>
      </w:r>
      <w:r w:rsidR="006E5B9A" w:rsidRPr="00862E50">
        <w:rPr>
          <w:rFonts w:cstheme="minorHAnsi"/>
          <w:lang w:val="nl-BE"/>
        </w:rPr>
        <w:t>daartoe</w:t>
      </w:r>
      <w:r w:rsidRPr="00862E50">
        <w:rPr>
          <w:rFonts w:cstheme="minorHAnsi"/>
          <w:lang w:val="nl-BE"/>
        </w:rPr>
        <w:t xml:space="preserve"> </w:t>
      </w:r>
      <w:r w:rsidR="006E5B9A" w:rsidRPr="00862E50">
        <w:rPr>
          <w:rFonts w:cstheme="minorHAnsi"/>
          <w:lang w:val="nl-BE"/>
        </w:rPr>
        <w:t>berust bij het o</w:t>
      </w:r>
      <w:r w:rsidRPr="00862E50">
        <w:rPr>
          <w:rFonts w:cstheme="minorHAnsi"/>
          <w:lang w:val="nl-BE"/>
        </w:rPr>
        <w:t xml:space="preserve">penbaar </w:t>
      </w:r>
      <w:r w:rsidR="006E5B9A" w:rsidRPr="00862E50">
        <w:rPr>
          <w:rFonts w:cstheme="minorHAnsi"/>
          <w:lang w:val="nl-BE"/>
        </w:rPr>
        <w:t>m</w:t>
      </w:r>
      <w:r w:rsidRPr="00862E50">
        <w:rPr>
          <w:rFonts w:cstheme="minorHAnsi"/>
          <w:lang w:val="nl-BE"/>
        </w:rPr>
        <w:t>inisterie</w:t>
      </w:r>
      <w:r w:rsidRPr="0069784D">
        <w:rPr>
          <w:rFonts w:cstheme="minorHAnsi"/>
          <w:lang w:val="nl-BE"/>
        </w:rPr>
        <w:t xml:space="preserve">. De </w:t>
      </w:r>
      <w:r w:rsidRPr="00862E50">
        <w:rPr>
          <w:rFonts w:cstheme="minorHAnsi"/>
          <w:lang w:val="nl-BE"/>
        </w:rPr>
        <w:t xml:space="preserve">wetgever </w:t>
      </w:r>
      <w:r w:rsidR="006E5B9A" w:rsidRPr="00862E50">
        <w:rPr>
          <w:rFonts w:cstheme="minorHAnsi"/>
          <w:lang w:val="nl-BE"/>
        </w:rPr>
        <w:t xml:space="preserve">heeft trouwens </w:t>
      </w:r>
      <w:r w:rsidRPr="00862E50">
        <w:rPr>
          <w:rFonts w:cstheme="minorHAnsi"/>
          <w:lang w:val="nl-BE"/>
        </w:rPr>
        <w:t>meermaals</w:t>
      </w:r>
      <w:r w:rsidR="006E5B9A" w:rsidRPr="00862E50">
        <w:rPr>
          <w:rFonts w:cstheme="minorHAnsi"/>
          <w:lang w:val="nl-BE"/>
        </w:rPr>
        <w:t xml:space="preserve"> haar</w:t>
      </w:r>
      <w:r w:rsidRPr="00862E50">
        <w:rPr>
          <w:rFonts w:cstheme="minorHAnsi"/>
          <w:lang w:val="nl-BE"/>
        </w:rPr>
        <w:t xml:space="preserve"> </w:t>
      </w:r>
      <w:r w:rsidR="006E5B9A" w:rsidRPr="00862E50">
        <w:rPr>
          <w:rFonts w:cstheme="minorHAnsi"/>
          <w:lang w:val="nl-BE"/>
        </w:rPr>
        <w:t xml:space="preserve">bedoeling </w:t>
      </w:r>
      <w:r w:rsidRPr="00862E50">
        <w:rPr>
          <w:rFonts w:cstheme="minorHAnsi"/>
          <w:lang w:val="nl-BE"/>
        </w:rPr>
        <w:t>om de bewijslast niet te wijzigen</w:t>
      </w:r>
      <w:r w:rsidR="006E5B9A" w:rsidRPr="00862E50">
        <w:rPr>
          <w:rFonts w:cstheme="minorHAnsi"/>
          <w:lang w:val="nl-BE"/>
        </w:rPr>
        <w:t>, laat staan om te keren, benadrukt</w:t>
      </w:r>
      <w:r w:rsidRPr="00862E50">
        <w:rPr>
          <w:rFonts w:cstheme="minorHAnsi"/>
          <w:lang w:val="nl-BE"/>
        </w:rPr>
        <w:t xml:space="preserve">. </w:t>
      </w:r>
    </w:p>
    <w:p w14:paraId="0345F7EE" w14:textId="68DC0172" w:rsidR="009B112A" w:rsidRPr="0069784D" w:rsidRDefault="009B112A" w:rsidP="009C15CF">
      <w:pPr>
        <w:jc w:val="both"/>
        <w:rPr>
          <w:rFonts w:cstheme="minorHAnsi"/>
          <w:lang w:val="nl-BE"/>
        </w:rPr>
      </w:pPr>
      <w:r w:rsidRPr="0069784D">
        <w:rPr>
          <w:rFonts w:cstheme="minorHAnsi"/>
          <w:lang w:val="nl-BE"/>
        </w:rPr>
        <w:t xml:space="preserve">In de memorie van toelichting wordt </w:t>
      </w:r>
      <w:r w:rsidRPr="00862E50">
        <w:rPr>
          <w:rFonts w:cstheme="minorHAnsi"/>
          <w:lang w:val="nl-BE"/>
        </w:rPr>
        <w:t xml:space="preserve">overigens benadrukt dat het </w:t>
      </w:r>
      <w:r w:rsidR="00481DA0" w:rsidRPr="00862E50">
        <w:rPr>
          <w:rFonts w:cstheme="minorHAnsi"/>
          <w:lang w:val="nl-BE"/>
        </w:rPr>
        <w:t xml:space="preserve">gegeven </w:t>
      </w:r>
      <w:r w:rsidRPr="00862E50">
        <w:rPr>
          <w:rFonts w:cstheme="minorHAnsi"/>
          <w:lang w:val="nl-BE"/>
        </w:rPr>
        <w:t xml:space="preserve">dat het slachtoffer </w:t>
      </w:r>
      <w:r w:rsidRPr="00862E50">
        <w:rPr>
          <w:rFonts w:cstheme="minorHAnsi"/>
          <w:b/>
          <w:bCs/>
          <w:lang w:val="nl-BE"/>
        </w:rPr>
        <w:t xml:space="preserve">onder invloed </w:t>
      </w:r>
      <w:r w:rsidRPr="00862E50">
        <w:rPr>
          <w:rFonts w:cstheme="minorHAnsi"/>
          <w:lang w:val="nl-BE"/>
        </w:rPr>
        <w:t xml:space="preserve">was </w:t>
      </w:r>
      <w:r w:rsidR="00481DA0" w:rsidRPr="00862E50">
        <w:rPr>
          <w:rFonts w:cstheme="minorHAnsi"/>
          <w:lang w:val="nl-BE"/>
        </w:rPr>
        <w:t xml:space="preserve">niet volstaat </w:t>
      </w:r>
      <w:r w:rsidRPr="00862E50">
        <w:rPr>
          <w:rFonts w:cstheme="minorHAnsi"/>
          <w:lang w:val="nl-BE"/>
        </w:rPr>
        <w:t xml:space="preserve">om de </w:t>
      </w:r>
      <w:r w:rsidR="006E5B9A" w:rsidRPr="00862E50">
        <w:rPr>
          <w:rFonts w:cstheme="minorHAnsi"/>
          <w:lang w:val="nl-BE"/>
        </w:rPr>
        <w:t xml:space="preserve">afwezigheid </w:t>
      </w:r>
      <w:r w:rsidRPr="00862E50">
        <w:rPr>
          <w:rFonts w:cstheme="minorHAnsi"/>
          <w:lang w:val="nl-BE"/>
        </w:rPr>
        <w:t>van toestemming</w:t>
      </w:r>
      <w:r w:rsidR="00481DA0" w:rsidRPr="00862E50">
        <w:rPr>
          <w:rFonts w:cstheme="minorHAnsi"/>
          <w:lang w:val="nl-BE"/>
        </w:rPr>
        <w:t xml:space="preserve"> te doen veronderstellen</w:t>
      </w:r>
      <w:r w:rsidRPr="00862E50">
        <w:rPr>
          <w:rFonts w:cstheme="minorHAnsi"/>
          <w:lang w:val="nl-BE"/>
        </w:rPr>
        <w:t xml:space="preserve">. Het is namelijk vereist dat de substantie in kwestie </w:t>
      </w:r>
      <w:r w:rsidRPr="00862E50">
        <w:rPr>
          <w:rFonts w:cstheme="minorHAnsi"/>
          <w:b/>
          <w:bCs/>
          <w:lang w:val="nl-BE"/>
        </w:rPr>
        <w:t xml:space="preserve">de vrije wil van het slachtoffer </w:t>
      </w:r>
      <w:r w:rsidR="00481DA0" w:rsidRPr="00862E50">
        <w:rPr>
          <w:rFonts w:cstheme="minorHAnsi"/>
          <w:b/>
          <w:bCs/>
          <w:lang w:val="nl-BE"/>
        </w:rPr>
        <w:t xml:space="preserve">dermate </w:t>
      </w:r>
      <w:r w:rsidRPr="00862E50">
        <w:rPr>
          <w:rFonts w:cstheme="minorHAnsi"/>
          <w:b/>
          <w:bCs/>
          <w:lang w:val="nl-BE"/>
        </w:rPr>
        <w:t xml:space="preserve">heeft </w:t>
      </w:r>
      <w:r w:rsidRPr="0069784D">
        <w:rPr>
          <w:rFonts w:cstheme="minorHAnsi"/>
          <w:b/>
          <w:bCs/>
          <w:lang w:val="nl-BE"/>
        </w:rPr>
        <w:t>aangetast</w:t>
      </w:r>
      <w:r w:rsidR="00F050A4" w:rsidRPr="0069784D">
        <w:rPr>
          <w:rStyle w:val="FootnoteReference"/>
          <w:rFonts w:cstheme="minorHAnsi"/>
          <w:lang w:val="nl-BE"/>
        </w:rPr>
        <w:footnoteReference w:customMarkFollows="1" w:id="12"/>
        <w:t>12</w:t>
      </w:r>
      <w:r w:rsidRPr="0069784D">
        <w:rPr>
          <w:rFonts w:cstheme="minorHAnsi"/>
          <w:lang w:val="nl-BE"/>
        </w:rPr>
        <w:t xml:space="preserve"> </w:t>
      </w:r>
      <w:r w:rsidR="00F050A4" w:rsidRPr="0069784D">
        <w:rPr>
          <w:rStyle w:val="FootnoteReference"/>
          <w:rFonts w:cstheme="minorHAnsi"/>
          <w:lang w:val="nl-BE"/>
        </w:rPr>
        <w:footnoteReference w:customMarkFollows="1" w:id="13"/>
        <w:t>13</w:t>
      </w:r>
      <w:r w:rsidRPr="0069784D">
        <w:rPr>
          <w:rFonts w:cstheme="minorHAnsi"/>
          <w:lang w:val="nl-BE"/>
        </w:rPr>
        <w:t xml:space="preserve">, </w:t>
      </w:r>
      <w:r w:rsidRPr="00862E50">
        <w:rPr>
          <w:rFonts w:cstheme="minorHAnsi"/>
          <w:lang w:val="nl-BE"/>
        </w:rPr>
        <w:t xml:space="preserve">dat  </w:t>
      </w:r>
      <w:r w:rsidR="00481DA0" w:rsidRPr="00862E50">
        <w:rPr>
          <w:rFonts w:cstheme="minorHAnsi"/>
          <w:lang w:val="nl-BE"/>
        </w:rPr>
        <w:t xml:space="preserve">het slachtoffer </w:t>
      </w:r>
      <w:r w:rsidRPr="00862E50">
        <w:rPr>
          <w:rFonts w:cstheme="minorHAnsi"/>
          <w:lang w:val="nl-BE"/>
        </w:rPr>
        <w:t>onmogelijk met de handeling kon instemmen</w:t>
      </w:r>
      <w:r w:rsidR="00481DA0" w:rsidRPr="00862E50">
        <w:rPr>
          <w:rFonts w:cstheme="minorHAnsi"/>
          <w:lang w:val="nl-BE"/>
        </w:rPr>
        <w:t>, dan wel</w:t>
      </w:r>
      <w:r w:rsidRPr="00862E50">
        <w:rPr>
          <w:rFonts w:cstheme="minorHAnsi"/>
          <w:lang w:val="nl-BE"/>
        </w:rPr>
        <w:t xml:space="preserve"> zich ertegen</w:t>
      </w:r>
      <w:r w:rsidR="00481DA0" w:rsidRPr="00862E50">
        <w:rPr>
          <w:rFonts w:cstheme="minorHAnsi"/>
          <w:lang w:val="nl-BE"/>
        </w:rPr>
        <w:t xml:space="preserve"> kon</w:t>
      </w:r>
      <w:r w:rsidRPr="00862E50">
        <w:rPr>
          <w:rFonts w:cstheme="minorHAnsi"/>
          <w:lang w:val="nl-BE"/>
        </w:rPr>
        <w:t xml:space="preserve"> verzetten.</w:t>
      </w:r>
    </w:p>
    <w:p w14:paraId="2E4508E7" w14:textId="196709F2" w:rsidR="009B112A" w:rsidRPr="0069784D" w:rsidRDefault="009B112A" w:rsidP="009C15CF">
      <w:pPr>
        <w:jc w:val="both"/>
        <w:rPr>
          <w:rFonts w:cstheme="minorHAnsi"/>
          <w:lang w:val="nl-BE"/>
        </w:rPr>
      </w:pPr>
      <w:r w:rsidRPr="0069784D">
        <w:rPr>
          <w:rFonts w:cstheme="minorHAnsi"/>
          <w:lang w:val="nl-BE"/>
        </w:rPr>
        <w:t xml:space="preserve">De kwetsbaarheid omwille van een handicap (terminologie die de </w:t>
      </w:r>
      <w:r w:rsidRPr="00862E50">
        <w:rPr>
          <w:rFonts w:cstheme="minorHAnsi"/>
          <w:lang w:val="nl-BE"/>
        </w:rPr>
        <w:t>bewoording</w:t>
      </w:r>
      <w:r w:rsidR="00481DA0" w:rsidRPr="00862E50">
        <w:rPr>
          <w:rFonts w:cstheme="minorHAnsi"/>
          <w:lang w:val="nl-BE"/>
        </w:rPr>
        <w:t>en</w:t>
      </w:r>
      <w:r w:rsidRPr="00862E50">
        <w:rPr>
          <w:rFonts w:cstheme="minorHAnsi"/>
          <w:lang w:val="nl-BE"/>
        </w:rPr>
        <w:t xml:space="preserve"> ‘</w:t>
      </w:r>
      <w:r w:rsidRPr="0069784D">
        <w:rPr>
          <w:rFonts w:cstheme="minorHAnsi"/>
          <w:lang w:val="nl-BE"/>
        </w:rPr>
        <w:t xml:space="preserve">onvolwaardigheid of een lichamelijk of geestelijk gebrek’ vervangt) kan niet op een dusdanige manier geïnterpreteerd </w:t>
      </w:r>
      <w:r w:rsidRPr="0069784D">
        <w:rPr>
          <w:rFonts w:cstheme="minorHAnsi"/>
          <w:lang w:val="nl-BE"/>
        </w:rPr>
        <w:lastRenderedPageBreak/>
        <w:t xml:space="preserve">worden dat de betrokken personen hun seksualiteit niet </w:t>
      </w:r>
      <w:r w:rsidR="00012508" w:rsidRPr="0069784D">
        <w:rPr>
          <w:rFonts w:cstheme="minorHAnsi"/>
          <w:lang w:val="nl-BE"/>
        </w:rPr>
        <w:t xml:space="preserve">vrij </w:t>
      </w:r>
      <w:r w:rsidRPr="0069784D">
        <w:rPr>
          <w:rFonts w:cstheme="minorHAnsi"/>
          <w:lang w:val="nl-BE"/>
        </w:rPr>
        <w:t xml:space="preserve">kunnen beleven en dient bijgevolg steeds </w:t>
      </w:r>
      <w:r w:rsidRPr="0069784D">
        <w:rPr>
          <w:rFonts w:cstheme="minorHAnsi"/>
          <w:i/>
          <w:iCs/>
          <w:lang w:val="nl-BE"/>
        </w:rPr>
        <w:t>in concreto</w:t>
      </w:r>
      <w:r w:rsidRPr="0069784D">
        <w:rPr>
          <w:rFonts w:cstheme="minorHAnsi"/>
          <w:lang w:val="nl-BE"/>
        </w:rPr>
        <w:t xml:space="preserve"> beoordeeld te worden</w:t>
      </w:r>
      <w:r w:rsidR="00F050A4" w:rsidRPr="0069784D">
        <w:rPr>
          <w:rStyle w:val="FootnoteReference"/>
          <w:rFonts w:cstheme="minorHAnsi"/>
          <w:lang w:val="nl-BE"/>
        </w:rPr>
        <w:footnoteReference w:customMarkFollows="1" w:id="14"/>
        <w:t>14</w:t>
      </w:r>
      <w:r w:rsidRPr="0069784D">
        <w:rPr>
          <w:rFonts w:cstheme="minorHAnsi"/>
          <w:lang w:val="nl-BE"/>
        </w:rPr>
        <w:t>.</w:t>
      </w:r>
    </w:p>
    <w:p w14:paraId="29735C8A" w14:textId="2E939896" w:rsidR="009B112A" w:rsidRPr="0069784D" w:rsidRDefault="009B112A" w:rsidP="009C15CF">
      <w:pPr>
        <w:jc w:val="both"/>
        <w:rPr>
          <w:rFonts w:cstheme="minorHAnsi"/>
          <w:lang w:val="nl-BE"/>
        </w:rPr>
      </w:pPr>
      <w:r w:rsidRPr="0069784D">
        <w:rPr>
          <w:rFonts w:cstheme="minorHAnsi"/>
          <w:lang w:val="nl-BE"/>
        </w:rPr>
        <w:t xml:space="preserve">Er </w:t>
      </w:r>
      <w:r w:rsidR="00481DA0" w:rsidRPr="00862E50">
        <w:rPr>
          <w:rFonts w:cstheme="minorHAnsi"/>
          <w:lang w:val="nl-BE"/>
        </w:rPr>
        <w:t>dient in herinnering te worden gebracht</w:t>
      </w:r>
      <w:r w:rsidRPr="00862E50">
        <w:rPr>
          <w:rFonts w:cstheme="minorHAnsi"/>
          <w:lang w:val="nl-BE"/>
        </w:rPr>
        <w:t xml:space="preserve"> dat </w:t>
      </w:r>
      <w:r w:rsidRPr="0069784D">
        <w:rPr>
          <w:rFonts w:cstheme="minorHAnsi"/>
          <w:lang w:val="nl-BE"/>
        </w:rPr>
        <w:t xml:space="preserve">het gaat om een </w:t>
      </w:r>
      <w:r w:rsidRPr="0069784D">
        <w:rPr>
          <w:rFonts w:cstheme="minorHAnsi"/>
          <w:b/>
          <w:bCs/>
          <w:lang w:val="nl-BE"/>
        </w:rPr>
        <w:t>niet-limitatieve lijst</w:t>
      </w:r>
      <w:r w:rsidRPr="0069784D">
        <w:rPr>
          <w:rFonts w:cstheme="minorHAnsi"/>
          <w:lang w:val="nl-BE"/>
        </w:rPr>
        <w:t xml:space="preserve"> van oorzaken van kwetsbaarheid (“met name”). </w:t>
      </w:r>
    </w:p>
    <w:p w14:paraId="49B1E3B6" w14:textId="6F518B6E" w:rsidR="009B112A" w:rsidRPr="00862E50" w:rsidRDefault="009B112A" w:rsidP="009C15CF">
      <w:pPr>
        <w:jc w:val="both"/>
        <w:rPr>
          <w:rFonts w:cstheme="minorHAnsi"/>
          <w:lang w:val="nl-BE"/>
        </w:rPr>
      </w:pPr>
      <w:r w:rsidRPr="0069784D">
        <w:rPr>
          <w:rFonts w:cstheme="minorHAnsi"/>
          <w:lang w:val="nl-BE"/>
        </w:rPr>
        <w:t xml:space="preserve">De kwetsbaarheid van het slachtoffer wordt ook bekeken vanuit het oogpunt van een verzwarende omstandigheid, maar </w:t>
      </w:r>
      <w:r w:rsidRPr="00862E50">
        <w:rPr>
          <w:rFonts w:cstheme="minorHAnsi"/>
          <w:lang w:val="nl-BE"/>
        </w:rPr>
        <w:t xml:space="preserve">wordt </w:t>
      </w:r>
      <w:r w:rsidR="00FB4308" w:rsidRPr="00862E50">
        <w:rPr>
          <w:rFonts w:cstheme="minorHAnsi"/>
          <w:lang w:val="nl-BE"/>
        </w:rPr>
        <w:t xml:space="preserve">in die context </w:t>
      </w:r>
      <w:r w:rsidRPr="00862E50">
        <w:rPr>
          <w:rFonts w:cstheme="minorHAnsi"/>
          <w:lang w:val="nl-BE"/>
        </w:rPr>
        <w:t>op een meer limitatieve manier gedefinieerd</w:t>
      </w:r>
      <w:r w:rsidR="00FB4308" w:rsidRPr="00862E50">
        <w:rPr>
          <w:rFonts w:cstheme="minorHAnsi"/>
          <w:lang w:val="nl-BE"/>
        </w:rPr>
        <w:t>,</w:t>
      </w:r>
      <w:r w:rsidRPr="00862E50">
        <w:rPr>
          <w:rFonts w:cstheme="minorHAnsi"/>
          <w:lang w:val="nl-BE"/>
        </w:rPr>
        <w:t xml:space="preserve"> </w:t>
      </w:r>
      <w:r w:rsidR="00FB4308" w:rsidRPr="00862E50">
        <w:rPr>
          <w:rFonts w:cstheme="minorHAnsi"/>
          <w:lang w:val="nl-BE"/>
        </w:rPr>
        <w:t xml:space="preserve">geïnspireerd op </w:t>
      </w:r>
      <w:r w:rsidRPr="00862E50">
        <w:rPr>
          <w:rFonts w:cstheme="minorHAnsi"/>
          <w:lang w:val="nl-BE"/>
        </w:rPr>
        <w:t>het vroegere artikel 376 van het Strafwetboek (zie analyse van artikel 417/15).</w:t>
      </w:r>
    </w:p>
    <w:p w14:paraId="4879A531" w14:textId="2517789E" w:rsidR="009B112A" w:rsidRPr="0069784D" w:rsidRDefault="00FB4308" w:rsidP="009C15CF">
      <w:pPr>
        <w:jc w:val="both"/>
        <w:rPr>
          <w:rFonts w:cstheme="minorHAnsi"/>
          <w:lang w:val="nl-BE"/>
        </w:rPr>
      </w:pPr>
      <w:r w:rsidRPr="00862E50">
        <w:rPr>
          <w:rFonts w:cstheme="minorHAnsi"/>
          <w:lang w:val="nl-BE"/>
        </w:rPr>
        <w:t>Daarenboven</w:t>
      </w:r>
      <w:r w:rsidR="009B112A" w:rsidRPr="00862E50">
        <w:rPr>
          <w:rFonts w:cstheme="minorHAnsi"/>
          <w:lang w:val="nl-BE"/>
        </w:rPr>
        <w:t xml:space="preserve"> mag niet uit het oog verloren worden dat het inroepen van deze verzwarende omstandigheid ertoe leidt dat correctionalisering </w:t>
      </w:r>
      <w:r w:rsidRPr="00862E50">
        <w:rPr>
          <w:rFonts w:cstheme="minorHAnsi"/>
          <w:lang w:val="nl-BE"/>
        </w:rPr>
        <w:t xml:space="preserve">niet langer </w:t>
      </w:r>
      <w:r w:rsidR="009B112A" w:rsidRPr="00862E50">
        <w:rPr>
          <w:rFonts w:cstheme="minorHAnsi"/>
          <w:lang w:val="nl-BE"/>
        </w:rPr>
        <w:t xml:space="preserve">mogelijk </w:t>
      </w:r>
      <w:r w:rsidR="009B112A" w:rsidRPr="0069784D">
        <w:rPr>
          <w:rFonts w:cstheme="minorHAnsi"/>
          <w:lang w:val="nl-BE"/>
        </w:rPr>
        <w:t xml:space="preserve">is wanneer verkrachting het hoofdmisdrijf is. </w:t>
      </w:r>
    </w:p>
    <w:p w14:paraId="7DC32E1A" w14:textId="1E9DCA77" w:rsidR="009B112A" w:rsidRPr="0069784D" w:rsidRDefault="009B112A" w:rsidP="009C15CF">
      <w:pPr>
        <w:jc w:val="both"/>
        <w:rPr>
          <w:rFonts w:cstheme="minorHAnsi"/>
          <w:lang w:val="nl-BE"/>
        </w:rPr>
      </w:pPr>
      <w:r w:rsidRPr="0069784D">
        <w:rPr>
          <w:rFonts w:cstheme="minorHAnsi"/>
          <w:lang w:val="nl-BE"/>
        </w:rPr>
        <w:t>Het specifieke geval van het toedienen van weerloosmakende</w:t>
      </w:r>
      <w:r w:rsidR="00F050A4" w:rsidRPr="0069784D">
        <w:rPr>
          <w:rFonts w:cstheme="minorHAnsi"/>
          <w:lang w:val="nl-BE"/>
        </w:rPr>
        <w:t xml:space="preserve"> of remmingsverlagende</w:t>
      </w:r>
      <w:r w:rsidRPr="0069784D">
        <w:rPr>
          <w:rFonts w:cstheme="minorHAnsi"/>
          <w:lang w:val="nl-BE"/>
        </w:rPr>
        <w:t xml:space="preserve"> stoffen </w:t>
      </w:r>
      <w:r w:rsidRPr="0069784D">
        <w:rPr>
          <w:rFonts w:cstheme="minorHAnsi"/>
          <w:u w:val="single"/>
          <w:lang w:val="nl-BE"/>
        </w:rPr>
        <w:t>door de dader</w:t>
      </w:r>
      <w:r w:rsidRPr="0069784D">
        <w:rPr>
          <w:rFonts w:cstheme="minorHAnsi"/>
          <w:lang w:val="nl-BE"/>
        </w:rPr>
        <w:t xml:space="preserve"> wordt eveneens in aanmerking genomen als verzwarende omstandigheid (zie analyse van artikel 417/14).</w:t>
      </w:r>
    </w:p>
    <w:p w14:paraId="43CC8B77" w14:textId="77777777" w:rsidR="009B112A" w:rsidRPr="0069784D" w:rsidRDefault="009B112A" w:rsidP="009C15CF">
      <w:pPr>
        <w:pStyle w:val="ListParagraph"/>
        <w:numPr>
          <w:ilvl w:val="0"/>
          <w:numId w:val="4"/>
        </w:numPr>
        <w:jc w:val="both"/>
        <w:rPr>
          <w:rFonts w:cstheme="minorHAnsi"/>
          <w:b/>
          <w:lang w:val="nl-BE"/>
        </w:rPr>
      </w:pPr>
      <w:r w:rsidRPr="0069784D">
        <w:rPr>
          <w:rFonts w:cstheme="minorHAnsi"/>
          <w:b/>
          <w:lang w:val="nl-BE"/>
        </w:rPr>
        <w:t>Dwang, geweld, bedreiging, verrassing, list</w:t>
      </w:r>
    </w:p>
    <w:p w14:paraId="190F1CFD" w14:textId="579E4DAB" w:rsidR="009B112A" w:rsidRPr="0069784D" w:rsidRDefault="009B112A" w:rsidP="009C15CF">
      <w:pPr>
        <w:jc w:val="both"/>
        <w:rPr>
          <w:rFonts w:cstheme="minorHAnsi"/>
          <w:lang w:val="nl-BE"/>
        </w:rPr>
      </w:pPr>
      <w:r w:rsidRPr="0069784D">
        <w:rPr>
          <w:rFonts w:cstheme="minorHAnsi"/>
          <w:lang w:val="nl-BE"/>
        </w:rPr>
        <w:t xml:space="preserve">De wetgever beoogt ook de in de huidige </w:t>
      </w:r>
      <w:r w:rsidRPr="00862E50">
        <w:rPr>
          <w:rFonts w:cstheme="minorHAnsi"/>
          <w:lang w:val="nl-BE"/>
        </w:rPr>
        <w:t xml:space="preserve">rechtspraak </w:t>
      </w:r>
      <w:r w:rsidR="00FB4308" w:rsidRPr="00862E50">
        <w:rPr>
          <w:rFonts w:cstheme="minorHAnsi"/>
          <w:lang w:val="nl-BE"/>
        </w:rPr>
        <w:t xml:space="preserve">reeds </w:t>
      </w:r>
      <w:r w:rsidRPr="00862E50">
        <w:rPr>
          <w:rFonts w:cstheme="minorHAnsi"/>
          <w:lang w:val="nl-BE"/>
        </w:rPr>
        <w:t>strikt afge</w:t>
      </w:r>
      <w:r w:rsidR="00FB4308" w:rsidRPr="00862E50">
        <w:rPr>
          <w:rFonts w:cstheme="minorHAnsi"/>
          <w:lang w:val="nl-BE"/>
        </w:rPr>
        <w:t>lijnde</w:t>
      </w:r>
      <w:r w:rsidR="00862E50">
        <w:rPr>
          <w:rFonts w:cstheme="minorHAnsi"/>
          <w:lang w:val="nl-BE"/>
        </w:rPr>
        <w:t xml:space="preserve"> </w:t>
      </w:r>
      <w:r w:rsidRPr="0069784D">
        <w:rPr>
          <w:rFonts w:cstheme="minorHAnsi"/>
          <w:lang w:val="nl-BE"/>
        </w:rPr>
        <w:t xml:space="preserve">begrippen ‘dwang’, (psychologisch of fysiek) </w:t>
      </w:r>
      <w:r w:rsidR="00012508" w:rsidRPr="0069784D">
        <w:rPr>
          <w:rFonts w:cstheme="minorHAnsi"/>
          <w:lang w:val="nl-BE"/>
        </w:rPr>
        <w:t>‘</w:t>
      </w:r>
      <w:r w:rsidRPr="0069784D">
        <w:rPr>
          <w:rFonts w:cstheme="minorHAnsi"/>
          <w:lang w:val="nl-BE"/>
        </w:rPr>
        <w:t xml:space="preserve">geweld’, ‘bedreiging’, ‘verrassing’ en ‘list’. </w:t>
      </w:r>
    </w:p>
    <w:p w14:paraId="73D7D7B2" w14:textId="77777777" w:rsidR="009B112A" w:rsidRPr="0069784D" w:rsidRDefault="009B112A" w:rsidP="009C15CF">
      <w:pPr>
        <w:jc w:val="both"/>
        <w:rPr>
          <w:rFonts w:cstheme="minorHAnsi"/>
          <w:lang w:val="nl-BE"/>
        </w:rPr>
      </w:pPr>
      <w:r w:rsidRPr="0069784D">
        <w:rPr>
          <w:rFonts w:cstheme="minorHAnsi"/>
          <w:lang w:val="nl-BE"/>
        </w:rPr>
        <w:t xml:space="preserve">Het gaat hierbij opnieuw om een </w:t>
      </w:r>
      <w:r w:rsidRPr="0069784D">
        <w:rPr>
          <w:rFonts w:cstheme="minorHAnsi"/>
          <w:b/>
          <w:bCs/>
          <w:lang w:val="nl-BE"/>
        </w:rPr>
        <w:t>niet-limitatieve lijst</w:t>
      </w:r>
      <w:r w:rsidRPr="0069784D">
        <w:rPr>
          <w:rFonts w:cstheme="minorHAnsi"/>
          <w:lang w:val="nl-BE"/>
        </w:rPr>
        <w:t xml:space="preserve">, aangezien ook “elke andere strafbare gedraging” in aanmerking genomen kan worden. </w:t>
      </w:r>
    </w:p>
    <w:p w14:paraId="3A7AB3F0" w14:textId="77777777" w:rsidR="009B112A" w:rsidRPr="0069784D" w:rsidRDefault="009B112A" w:rsidP="009C15CF">
      <w:pPr>
        <w:pStyle w:val="ListParagraph"/>
        <w:numPr>
          <w:ilvl w:val="0"/>
          <w:numId w:val="4"/>
        </w:numPr>
        <w:jc w:val="both"/>
        <w:rPr>
          <w:rFonts w:cstheme="minorHAnsi"/>
          <w:b/>
          <w:lang w:val="nl-BE"/>
        </w:rPr>
      </w:pPr>
      <w:r w:rsidRPr="0069784D">
        <w:rPr>
          <w:rFonts w:cstheme="minorHAnsi"/>
          <w:b/>
          <w:lang w:val="nl-BE"/>
        </w:rPr>
        <w:t>Bewusteloos of slapend slachtoffer</w:t>
      </w:r>
    </w:p>
    <w:p w14:paraId="1055C3CD" w14:textId="639BD597" w:rsidR="009B112A" w:rsidRPr="0069784D" w:rsidRDefault="009B112A" w:rsidP="009C15CF">
      <w:pPr>
        <w:jc w:val="both"/>
        <w:rPr>
          <w:rFonts w:cstheme="minorHAnsi"/>
          <w:lang w:val="nl-BE"/>
        </w:rPr>
      </w:pPr>
      <w:r w:rsidRPr="0069784D">
        <w:rPr>
          <w:rFonts w:cstheme="minorHAnsi"/>
          <w:lang w:val="nl-BE"/>
        </w:rPr>
        <w:t>De wetgever streefde op dit vlak duidelijkheid na d</w:t>
      </w:r>
      <w:r w:rsidRPr="00862E50">
        <w:rPr>
          <w:rFonts w:cstheme="minorHAnsi"/>
          <w:lang w:val="nl-BE"/>
        </w:rPr>
        <w:t xml:space="preserve">oor uitdrukkelijk </w:t>
      </w:r>
      <w:r w:rsidR="001F3396" w:rsidRPr="00862E50">
        <w:rPr>
          <w:rFonts w:cstheme="minorHAnsi"/>
          <w:lang w:val="nl-BE"/>
        </w:rPr>
        <w:t xml:space="preserve">te voorzien dat een </w:t>
      </w:r>
      <w:r w:rsidRPr="00862E50">
        <w:rPr>
          <w:rFonts w:cstheme="minorHAnsi"/>
          <w:lang w:val="nl-BE"/>
        </w:rPr>
        <w:t xml:space="preserve">slapend of bewusteloos slachtoffer geen toestemming </w:t>
      </w:r>
      <w:r w:rsidR="001F3396" w:rsidRPr="00862E50">
        <w:rPr>
          <w:rFonts w:cstheme="minorHAnsi"/>
          <w:lang w:val="nl-BE"/>
        </w:rPr>
        <w:t>kan geven</w:t>
      </w:r>
      <w:r w:rsidRPr="00862E50">
        <w:rPr>
          <w:rFonts w:cstheme="minorHAnsi"/>
          <w:lang w:val="nl-BE"/>
        </w:rPr>
        <w:t xml:space="preserve">. </w:t>
      </w:r>
    </w:p>
    <w:p w14:paraId="45453922" w14:textId="7808BA44" w:rsidR="009B112A" w:rsidRPr="0069784D" w:rsidRDefault="009B112A" w:rsidP="009C15CF">
      <w:pPr>
        <w:jc w:val="both"/>
        <w:rPr>
          <w:rFonts w:cstheme="minorHAnsi"/>
          <w:u w:val="single"/>
          <w:lang w:val="nl-BE"/>
        </w:rPr>
      </w:pPr>
      <w:r w:rsidRPr="0069784D">
        <w:rPr>
          <w:rFonts w:cstheme="minorHAnsi"/>
          <w:u w:val="single"/>
          <w:lang w:val="nl-BE"/>
        </w:rPr>
        <w:t xml:space="preserve">Mogelijkheid om de toestemming op ieder moment </w:t>
      </w:r>
      <w:r w:rsidRPr="0069784D">
        <w:rPr>
          <w:rFonts w:cstheme="minorHAnsi"/>
          <w:b/>
          <w:bCs/>
          <w:u w:val="single"/>
          <w:lang w:val="nl-BE"/>
        </w:rPr>
        <w:t>in te trekken</w:t>
      </w:r>
      <w:r w:rsidRPr="0069784D">
        <w:rPr>
          <w:rFonts w:cstheme="minorHAnsi"/>
          <w:u w:val="single"/>
          <w:lang w:val="nl-BE"/>
        </w:rPr>
        <w:t xml:space="preserve">/fenomeen </w:t>
      </w:r>
      <w:r w:rsidRPr="0069784D">
        <w:rPr>
          <w:rFonts w:cstheme="minorHAnsi"/>
          <w:b/>
          <w:i/>
          <w:iCs/>
          <w:u w:val="single"/>
          <w:lang w:val="nl-BE"/>
        </w:rPr>
        <w:t>stealthing</w:t>
      </w:r>
      <w:r w:rsidR="00F050A4" w:rsidRPr="0069784D">
        <w:rPr>
          <w:rStyle w:val="FootnoteReference"/>
          <w:rFonts w:cstheme="minorHAnsi"/>
          <w:u w:val="single"/>
          <w:lang w:val="nl-BE"/>
        </w:rPr>
        <w:footnoteReference w:customMarkFollows="1" w:id="15"/>
        <w:t>15</w:t>
      </w:r>
      <w:r w:rsidRPr="0069784D">
        <w:rPr>
          <w:rFonts w:cstheme="minorHAnsi"/>
          <w:u w:val="single"/>
          <w:lang w:val="nl-BE"/>
        </w:rPr>
        <w:t>.</w:t>
      </w:r>
    </w:p>
    <w:p w14:paraId="0BADA6E5" w14:textId="358445EC" w:rsidR="009B112A" w:rsidRPr="0069784D" w:rsidRDefault="009B112A" w:rsidP="009C15CF">
      <w:pPr>
        <w:jc w:val="both"/>
        <w:rPr>
          <w:rFonts w:cstheme="minorHAnsi"/>
          <w:lang w:val="nl-BE"/>
        </w:rPr>
      </w:pPr>
      <w:r w:rsidRPr="0069784D">
        <w:rPr>
          <w:rFonts w:cstheme="minorHAnsi"/>
          <w:lang w:val="nl-BE"/>
        </w:rPr>
        <w:t xml:space="preserve">De wetgever voorziet in de mogelijkheid om de toestemming op ieder moment in te trekken, door bovendien te preciseren dat de toestemming met een seksuele handeling op zich niet impliceert dat ook met een andere seksuele </w:t>
      </w:r>
      <w:r w:rsidRPr="00862E50">
        <w:rPr>
          <w:rFonts w:cstheme="minorHAnsi"/>
          <w:lang w:val="nl-BE"/>
        </w:rPr>
        <w:t xml:space="preserve">handeling </w:t>
      </w:r>
      <w:r w:rsidR="001F3396" w:rsidRPr="00862E50">
        <w:rPr>
          <w:rFonts w:cstheme="minorHAnsi"/>
          <w:lang w:val="nl-BE"/>
        </w:rPr>
        <w:t xml:space="preserve">wordt </w:t>
      </w:r>
      <w:r w:rsidR="00862E50">
        <w:rPr>
          <w:rFonts w:cstheme="minorHAnsi"/>
          <w:lang w:val="nl-BE"/>
        </w:rPr>
        <w:t xml:space="preserve">ingestemd. </w:t>
      </w:r>
      <w:r w:rsidRPr="0069784D">
        <w:rPr>
          <w:rFonts w:cstheme="minorHAnsi"/>
          <w:lang w:val="nl-BE"/>
        </w:rPr>
        <w:t xml:space="preserve">Elke nieuwe penetratie vereist bijgevolg een nieuwe toestemming. </w:t>
      </w:r>
    </w:p>
    <w:p w14:paraId="1FE854FE" w14:textId="60EE81F5" w:rsidR="009B112A" w:rsidRPr="0069784D" w:rsidRDefault="009B112A" w:rsidP="009C15CF">
      <w:pPr>
        <w:autoSpaceDE w:val="0"/>
        <w:autoSpaceDN w:val="0"/>
        <w:adjustRightInd w:val="0"/>
        <w:spacing w:after="0" w:line="276" w:lineRule="auto"/>
        <w:jc w:val="both"/>
        <w:rPr>
          <w:rFonts w:cstheme="minorHAnsi"/>
          <w:lang w:val="nl-BE"/>
        </w:rPr>
      </w:pPr>
      <w:r w:rsidRPr="0069784D">
        <w:rPr>
          <w:rFonts w:cstheme="minorHAnsi"/>
          <w:i/>
          <w:iCs/>
          <w:lang w:val="nl-BE"/>
        </w:rPr>
        <w:t>Stealthing</w:t>
      </w:r>
      <w:r w:rsidRPr="0069784D">
        <w:rPr>
          <w:rFonts w:cstheme="minorHAnsi"/>
          <w:lang w:val="nl-BE"/>
        </w:rPr>
        <w:t xml:space="preserve"> wordt aldus strafbaar gesteld en de bewoording</w:t>
      </w:r>
      <w:r w:rsidR="001F3396" w:rsidRPr="00862E50">
        <w:rPr>
          <w:rFonts w:cstheme="minorHAnsi"/>
          <w:lang w:val="nl-BE"/>
        </w:rPr>
        <w:t>en</w:t>
      </w:r>
      <w:r w:rsidRPr="00862E50">
        <w:rPr>
          <w:rFonts w:cstheme="minorHAnsi"/>
          <w:lang w:val="nl-BE"/>
        </w:rPr>
        <w:t xml:space="preserve"> </w:t>
      </w:r>
      <w:r w:rsidR="003C16FC" w:rsidRPr="0069784D">
        <w:rPr>
          <w:rFonts w:cstheme="minorHAnsi"/>
          <w:lang w:val="nl-BE"/>
        </w:rPr>
        <w:t>‘</w:t>
      </w:r>
      <w:r w:rsidRPr="0069784D">
        <w:rPr>
          <w:rFonts w:cstheme="minorHAnsi"/>
          <w:iCs/>
          <w:lang w:val="nl-BE"/>
        </w:rPr>
        <w:t>bestaan uit of mede bestaan uit het seksueel binnendringen</w:t>
      </w:r>
      <w:r w:rsidR="003C16FC" w:rsidRPr="0069784D">
        <w:rPr>
          <w:rFonts w:cstheme="minorHAnsi"/>
          <w:iCs/>
          <w:lang w:val="nl-BE"/>
        </w:rPr>
        <w:t>’</w:t>
      </w:r>
      <w:r w:rsidRPr="0069784D">
        <w:rPr>
          <w:rFonts w:cstheme="minorHAnsi"/>
          <w:iCs/>
          <w:lang w:val="nl-BE"/>
        </w:rPr>
        <w:t xml:space="preserve">, die </w:t>
      </w:r>
      <w:r w:rsidR="001F3396" w:rsidRPr="00862E50">
        <w:rPr>
          <w:rFonts w:cstheme="minorHAnsi"/>
          <w:iCs/>
          <w:lang w:val="nl-BE"/>
        </w:rPr>
        <w:t xml:space="preserve">op het </w:t>
      </w:r>
      <w:r w:rsidRPr="00862E50">
        <w:rPr>
          <w:rFonts w:cstheme="minorHAnsi"/>
          <w:iCs/>
          <w:lang w:val="nl-BE"/>
        </w:rPr>
        <w:t xml:space="preserve">Nederlandse </w:t>
      </w:r>
      <w:r w:rsidR="00862E50">
        <w:rPr>
          <w:rFonts w:cstheme="minorHAnsi"/>
          <w:iCs/>
          <w:lang w:val="nl-BE"/>
        </w:rPr>
        <w:t xml:space="preserve">recht geïnspireerd </w:t>
      </w:r>
      <w:r w:rsidR="001F3396" w:rsidRPr="00862E50">
        <w:rPr>
          <w:rFonts w:cstheme="minorHAnsi"/>
          <w:iCs/>
          <w:lang w:val="nl-BE"/>
        </w:rPr>
        <w:t>zijn</w:t>
      </w:r>
      <w:r w:rsidRPr="0069784D">
        <w:rPr>
          <w:rFonts w:cstheme="minorHAnsi"/>
          <w:iCs/>
          <w:lang w:val="nl-BE"/>
        </w:rPr>
        <w:t xml:space="preserve">, </w:t>
      </w:r>
      <w:r w:rsidRPr="00862E50">
        <w:rPr>
          <w:rFonts w:cstheme="minorHAnsi"/>
          <w:iCs/>
          <w:lang w:val="nl-BE"/>
        </w:rPr>
        <w:t>moet</w:t>
      </w:r>
      <w:r w:rsidR="001F3396" w:rsidRPr="00862E50">
        <w:rPr>
          <w:rFonts w:cstheme="minorHAnsi"/>
          <w:iCs/>
          <w:lang w:val="nl-BE"/>
        </w:rPr>
        <w:t>en</w:t>
      </w:r>
      <w:r w:rsidRPr="00862E50">
        <w:rPr>
          <w:rFonts w:cstheme="minorHAnsi"/>
          <w:iCs/>
          <w:lang w:val="nl-BE"/>
        </w:rPr>
        <w:t xml:space="preserve"> </w:t>
      </w:r>
      <w:r w:rsidR="001F3396" w:rsidRPr="00862E50">
        <w:rPr>
          <w:rFonts w:cstheme="minorHAnsi"/>
          <w:iCs/>
          <w:lang w:val="nl-BE"/>
        </w:rPr>
        <w:t>in die zin</w:t>
      </w:r>
      <w:r w:rsidRPr="00862E50">
        <w:rPr>
          <w:rFonts w:cstheme="minorHAnsi"/>
          <w:iCs/>
          <w:lang w:val="nl-BE"/>
        </w:rPr>
        <w:t xml:space="preserve"> geïnterpreteerd worden (Frans: </w:t>
      </w:r>
      <w:r w:rsidRPr="00862E50">
        <w:rPr>
          <w:rFonts w:cstheme="minorHAnsi"/>
          <w:i/>
          <w:iCs/>
          <w:lang w:val="nl-BE"/>
        </w:rPr>
        <w:t xml:space="preserve">consiste en </w:t>
      </w:r>
      <w:r w:rsidRPr="00862E50">
        <w:rPr>
          <w:rFonts w:cstheme="minorHAnsi"/>
          <w:b/>
          <w:i/>
          <w:iCs/>
          <w:lang w:val="nl-BE"/>
        </w:rPr>
        <w:t xml:space="preserve">ou se compose </w:t>
      </w:r>
      <w:r w:rsidRPr="00862E50">
        <w:rPr>
          <w:rFonts w:cstheme="minorHAnsi"/>
          <w:i/>
          <w:iCs/>
          <w:lang w:val="nl-BE"/>
        </w:rPr>
        <w:t>d’une pénétration sexuelle</w:t>
      </w:r>
      <w:r w:rsidRPr="00862E50">
        <w:rPr>
          <w:rFonts w:cstheme="minorHAnsi"/>
          <w:lang w:val="nl-BE"/>
        </w:rPr>
        <w:t xml:space="preserve">) in de definitie van het misdrijf </w:t>
      </w:r>
      <w:r w:rsidR="0069255C" w:rsidRPr="00862E50">
        <w:rPr>
          <w:rFonts w:cstheme="minorHAnsi"/>
          <w:lang w:val="nl-BE"/>
        </w:rPr>
        <w:t>‘</w:t>
      </w:r>
      <w:r w:rsidRPr="00862E50">
        <w:rPr>
          <w:rFonts w:cstheme="minorHAnsi"/>
          <w:lang w:val="nl-BE"/>
        </w:rPr>
        <w:t xml:space="preserve">verkrachting </w:t>
      </w:r>
      <w:r w:rsidR="0069255C" w:rsidRPr="00862E50">
        <w:rPr>
          <w:rFonts w:cstheme="minorHAnsi"/>
          <w:lang w:val="nl-BE"/>
        </w:rPr>
        <w:t>‘</w:t>
      </w:r>
      <w:r w:rsidRPr="00862E50">
        <w:rPr>
          <w:rFonts w:cstheme="minorHAnsi"/>
          <w:lang w:val="nl-BE"/>
        </w:rPr>
        <w:t xml:space="preserve">uit artikel 417/11 (de Franse vertaling uit de memorie van </w:t>
      </w:r>
      <w:r w:rsidRPr="0069784D">
        <w:rPr>
          <w:rFonts w:cstheme="minorHAnsi"/>
          <w:lang w:val="nl-BE"/>
        </w:rPr>
        <w:t xml:space="preserve">toelichting </w:t>
      </w:r>
      <w:r w:rsidRPr="0069784D">
        <w:rPr>
          <w:rFonts w:cstheme="minorHAnsi"/>
          <w:i/>
          <w:iCs/>
          <w:lang w:val="nl-BE"/>
        </w:rPr>
        <w:t>consiste entièrement ou partiellement en une pénétration sexuelle</w:t>
      </w:r>
      <w:r w:rsidRPr="0069784D">
        <w:rPr>
          <w:rFonts w:cstheme="minorHAnsi"/>
          <w:lang w:val="nl-BE"/>
        </w:rPr>
        <w:t xml:space="preserve"> wordt overigens als weinig begrijpelijk beschouwd): </w:t>
      </w:r>
      <w:r w:rsidRPr="0069784D">
        <w:rPr>
          <w:rFonts w:cstheme="minorHAnsi"/>
          <w:i/>
          <w:iCs/>
          <w:lang w:val="nl-BE"/>
        </w:rPr>
        <w:t>“</w:t>
      </w:r>
      <w:r w:rsidRPr="0069784D">
        <w:rPr>
          <w:i/>
          <w:iCs/>
          <w:lang w:val="nl-BE"/>
        </w:rPr>
        <w:t xml:space="preserve">Uit deze omschrijving volgt dat de wetgever zowel de gedragingen die aan </w:t>
      </w:r>
      <w:r w:rsidRPr="0069784D">
        <w:rPr>
          <w:i/>
          <w:iCs/>
          <w:lang w:val="nl-BE"/>
        </w:rPr>
        <w:lastRenderedPageBreak/>
        <w:t>het seksueel binnendringen voorafgaan, dan wel daarop volgen of daarmee gepaard gaan onder de delictsomschrijving van verkrachting wil laten vallen</w:t>
      </w:r>
      <w:r w:rsidR="00552C66" w:rsidRPr="0069784D">
        <w:rPr>
          <w:i/>
          <w:iCs/>
          <w:lang w:val="nl-BE"/>
        </w:rPr>
        <w:t>.</w:t>
      </w:r>
      <w:r w:rsidRPr="0069784D">
        <w:rPr>
          <w:i/>
          <w:iCs/>
          <w:lang w:val="nl-BE"/>
        </w:rPr>
        <w:t>”</w:t>
      </w:r>
      <w:r w:rsidR="00F050A4" w:rsidRPr="0069784D">
        <w:rPr>
          <w:rStyle w:val="FootnoteReference"/>
          <w:lang w:val="nl-BE"/>
        </w:rPr>
        <w:footnoteReference w:customMarkFollows="1" w:id="16"/>
        <w:t>16</w:t>
      </w:r>
      <w:r w:rsidRPr="0069784D">
        <w:rPr>
          <w:lang w:val="nl-BE"/>
        </w:rPr>
        <w:t>.</w:t>
      </w:r>
    </w:p>
    <w:p w14:paraId="2F1157C9" w14:textId="77777777" w:rsidR="009B112A" w:rsidRPr="0069784D" w:rsidRDefault="009B112A" w:rsidP="009C15CF">
      <w:pPr>
        <w:autoSpaceDE w:val="0"/>
        <w:autoSpaceDN w:val="0"/>
        <w:adjustRightInd w:val="0"/>
        <w:spacing w:after="0" w:line="276" w:lineRule="auto"/>
        <w:jc w:val="both"/>
        <w:rPr>
          <w:rFonts w:cstheme="minorHAnsi"/>
          <w:lang w:val="nl-BE"/>
        </w:rPr>
      </w:pPr>
    </w:p>
    <w:p w14:paraId="476186BF" w14:textId="2C463234" w:rsidR="009B112A" w:rsidRPr="0069784D" w:rsidRDefault="009B112A" w:rsidP="009C15CF">
      <w:pPr>
        <w:jc w:val="both"/>
        <w:rPr>
          <w:lang w:val="nl-BE"/>
        </w:rPr>
      </w:pPr>
      <w:r w:rsidRPr="0069784D">
        <w:rPr>
          <w:lang w:val="nl-BE"/>
        </w:rPr>
        <w:t>De nieuwe wet wijzigde de bewijslast niet</w:t>
      </w:r>
      <w:r w:rsidR="001F3396">
        <w:rPr>
          <w:lang w:val="nl-BE"/>
        </w:rPr>
        <w:t>.</w:t>
      </w:r>
      <w:r w:rsidRPr="0069784D">
        <w:rPr>
          <w:lang w:val="nl-BE"/>
        </w:rPr>
        <w:t xml:space="preserve"> </w:t>
      </w:r>
      <w:r w:rsidR="001F3396" w:rsidRPr="00862E50">
        <w:rPr>
          <w:lang w:val="nl-BE"/>
        </w:rPr>
        <w:t>He</w:t>
      </w:r>
      <w:r w:rsidRPr="00862E50">
        <w:rPr>
          <w:lang w:val="nl-BE"/>
        </w:rPr>
        <w:t xml:space="preserve">t is </w:t>
      </w:r>
      <w:r w:rsidR="00CF6DAF" w:rsidRPr="00862E50">
        <w:rPr>
          <w:lang w:val="nl-BE"/>
        </w:rPr>
        <w:t xml:space="preserve">en blijft </w:t>
      </w:r>
      <w:r w:rsidRPr="00862E50">
        <w:rPr>
          <w:lang w:val="nl-BE"/>
        </w:rPr>
        <w:t xml:space="preserve">dus het </w:t>
      </w:r>
      <w:r w:rsidR="00CF6DAF" w:rsidRPr="00862E50">
        <w:rPr>
          <w:lang w:val="nl-BE"/>
        </w:rPr>
        <w:t>o</w:t>
      </w:r>
      <w:r w:rsidRPr="00862E50">
        <w:rPr>
          <w:lang w:val="nl-BE"/>
        </w:rPr>
        <w:t xml:space="preserve">penbaar </w:t>
      </w:r>
      <w:r w:rsidR="00CF6DAF" w:rsidRPr="00862E50">
        <w:rPr>
          <w:lang w:val="nl-BE"/>
        </w:rPr>
        <w:t>m</w:t>
      </w:r>
      <w:r w:rsidRPr="00862E50">
        <w:rPr>
          <w:lang w:val="nl-BE"/>
        </w:rPr>
        <w:t xml:space="preserve">inisterie dat de afwezigheid van toestemming </w:t>
      </w:r>
      <w:r w:rsidR="00CF6DAF" w:rsidRPr="00862E50">
        <w:rPr>
          <w:lang w:val="nl-BE"/>
        </w:rPr>
        <w:t xml:space="preserve">in hoofde </w:t>
      </w:r>
      <w:r w:rsidRPr="00862E50">
        <w:rPr>
          <w:lang w:val="nl-BE"/>
        </w:rPr>
        <w:t>van het slachtoffer dient te bewijzen</w:t>
      </w:r>
      <w:r w:rsidR="00F050A4" w:rsidRPr="0069784D">
        <w:rPr>
          <w:lang w:val="nl-BE"/>
        </w:rPr>
        <w:t>.</w:t>
      </w:r>
    </w:p>
    <w:p w14:paraId="037B273B" w14:textId="77777777" w:rsidR="009B112A" w:rsidRPr="0069784D" w:rsidRDefault="009B112A" w:rsidP="009C15CF">
      <w:pPr>
        <w:autoSpaceDE w:val="0"/>
        <w:autoSpaceDN w:val="0"/>
        <w:adjustRightInd w:val="0"/>
        <w:spacing w:after="0" w:line="240" w:lineRule="auto"/>
        <w:jc w:val="both"/>
        <w:rPr>
          <w:rFonts w:cstheme="minorHAnsi"/>
          <w:lang w:val="nl-BE"/>
        </w:rPr>
      </w:pPr>
    </w:p>
    <w:p w14:paraId="269CADBE" w14:textId="77777777" w:rsidR="009B112A" w:rsidRPr="0069784D" w:rsidRDefault="009B112A" w:rsidP="009C15CF">
      <w:pPr>
        <w:autoSpaceDE w:val="0"/>
        <w:autoSpaceDN w:val="0"/>
        <w:adjustRightInd w:val="0"/>
        <w:spacing w:after="0" w:line="240" w:lineRule="auto"/>
        <w:jc w:val="both"/>
        <w:rPr>
          <w:rFonts w:cstheme="minorHAnsi"/>
          <w:bCs/>
          <w:sz w:val="32"/>
          <w:szCs w:val="32"/>
          <w:lang w:val="nl-BE"/>
        </w:rPr>
      </w:pPr>
      <w:r w:rsidRPr="0069784D">
        <w:rPr>
          <w:rFonts w:cstheme="minorHAnsi"/>
          <w:bCs/>
          <w:sz w:val="32"/>
          <w:szCs w:val="32"/>
          <w:lang w:val="nl-BE"/>
        </w:rPr>
        <w:t>Artikel 417/6 – Seksuele meerderjarigheid</w:t>
      </w:r>
    </w:p>
    <w:p w14:paraId="63C22B69" w14:textId="77777777" w:rsidR="009B112A" w:rsidRPr="0069784D" w:rsidRDefault="009B112A" w:rsidP="009C15CF">
      <w:pPr>
        <w:autoSpaceDE w:val="0"/>
        <w:autoSpaceDN w:val="0"/>
        <w:adjustRightInd w:val="0"/>
        <w:spacing w:after="0" w:line="240" w:lineRule="auto"/>
        <w:jc w:val="both"/>
        <w:rPr>
          <w:rFonts w:cstheme="minorHAnsi"/>
          <w:lang w:val="nl-BE"/>
        </w:rPr>
      </w:pPr>
    </w:p>
    <w:p w14:paraId="2B084FBC" w14:textId="77777777" w:rsidR="009B112A" w:rsidRPr="0069784D" w:rsidRDefault="009B112A" w:rsidP="009C15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lang w:val="nl-BE"/>
        </w:rPr>
      </w:pPr>
      <w:r w:rsidRPr="0069784D">
        <w:rPr>
          <w:color w:val="000000"/>
          <w:lang w:val="nl-BE"/>
        </w:rPr>
        <w:t>417/6 - Beperkingen aan de mogelijkheid tot toestemming door de minderjarige</w:t>
      </w:r>
    </w:p>
    <w:p w14:paraId="78E7AB0C" w14:textId="77777777" w:rsidR="009B112A" w:rsidRPr="0069784D" w:rsidRDefault="009B112A" w:rsidP="009C15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lang w:val="nl-BE"/>
        </w:rPr>
      </w:pPr>
    </w:p>
    <w:p w14:paraId="6A99DDB3" w14:textId="77777777" w:rsidR="009B112A" w:rsidRPr="0069784D" w:rsidRDefault="009B112A" w:rsidP="009C15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lang w:val="nl-BE"/>
        </w:rPr>
      </w:pPr>
      <w:r w:rsidRPr="0069784D">
        <w:rPr>
          <w:color w:val="000000"/>
          <w:lang w:val="nl-BE"/>
        </w:rPr>
        <w:t>§ 1. Onder voorbehoud van paragraaf 2 wordt een minderjarige die de volle leeftijd van zestien jaar niet heeft bereikt, niet geacht uit vrije wil te kunnen toestemmen.</w:t>
      </w:r>
    </w:p>
    <w:p w14:paraId="2BDAFD10" w14:textId="77777777" w:rsidR="009B112A" w:rsidRPr="0069784D" w:rsidRDefault="009B112A" w:rsidP="009C15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lang w:val="nl-BE"/>
        </w:rPr>
      </w:pPr>
      <w:r w:rsidRPr="0069784D">
        <w:rPr>
          <w:color w:val="000000"/>
          <w:lang w:val="nl-BE"/>
        </w:rPr>
        <w:t>§ 2. Een minderjarige die de volle leeftijd van veertien jaar heeft bereikt, maar niet de volle leeftijd van zestien jaar, kan uit vrije wil toestemmen indien het leeftijdsverschil met de andere persoon niet meer dan drie jaar bedraagt.</w:t>
      </w:r>
    </w:p>
    <w:p w14:paraId="0B2B0AE9" w14:textId="77777777" w:rsidR="009B112A" w:rsidRPr="0069784D" w:rsidRDefault="009B112A" w:rsidP="009C15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lang w:val="nl-BE"/>
        </w:rPr>
      </w:pPr>
      <w:r w:rsidRPr="0069784D">
        <w:rPr>
          <w:color w:val="000000"/>
          <w:lang w:val="nl-BE"/>
        </w:rPr>
        <w:t>Er is geen misdrijf tussen minderjarigen die de volle leeftijd van veertien jaar hebben bereikt en die met wederzijdse toestemming handelen wanneer het onderlinge leeftijdsverschil meer dan drie jaar bedraagt.</w:t>
      </w:r>
    </w:p>
    <w:p w14:paraId="0D4E33B0" w14:textId="77777777" w:rsidR="009B112A" w:rsidRPr="0069784D" w:rsidRDefault="009B112A" w:rsidP="009C15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lang w:val="nl-BE"/>
        </w:rPr>
      </w:pPr>
      <w:r w:rsidRPr="0069784D">
        <w:rPr>
          <w:color w:val="000000"/>
          <w:lang w:val="nl-BE"/>
        </w:rPr>
        <w:t>§ 3. Een minderjarige kan nooit uit vrije wil toestemmen indien:</w:t>
      </w:r>
    </w:p>
    <w:p w14:paraId="0C218C68" w14:textId="77777777" w:rsidR="009B112A" w:rsidRPr="0069784D" w:rsidRDefault="009B112A" w:rsidP="009C15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lang w:val="nl-BE"/>
        </w:rPr>
      </w:pPr>
      <w:r w:rsidRPr="0069784D">
        <w:rPr>
          <w:color w:val="000000"/>
          <w:lang w:val="nl-BE"/>
        </w:rPr>
        <w:t>1° de dader een bloedverwant of aanverwant is in de rechte opgaande lijn of een adoptant of een bloedverwant of aanverwant in de zijlijn tot en met de derde graad of ieder ander persoon die een soortgelijke positie heeft in het gezin of ongeacht welke persoon die gewoonlijk of occasioneel met de minderjarige samenwoont en die over die minderjarige gezag heeft, of</w:t>
      </w:r>
    </w:p>
    <w:p w14:paraId="7E141E5C" w14:textId="77777777" w:rsidR="009B112A" w:rsidRPr="0069784D" w:rsidRDefault="009B112A" w:rsidP="009C15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lang w:val="nl-BE"/>
        </w:rPr>
      </w:pPr>
      <w:r w:rsidRPr="0069784D">
        <w:rPr>
          <w:color w:val="000000"/>
          <w:lang w:val="nl-BE"/>
        </w:rPr>
        <w:t>2° de daad mogelijk is gemaakt doordat de dader gebruik heeft gemaakt van een erkende positie van vertrouwen, gezag of invloed ten aanzien van de minderjarige,</w:t>
      </w:r>
      <w:r w:rsidRPr="0069784D">
        <w:rPr>
          <w:b/>
          <w:bCs/>
          <w:color w:val="000000"/>
          <w:sz w:val="27"/>
          <w:szCs w:val="27"/>
          <w:lang w:val="nl-BE"/>
        </w:rPr>
        <w:t xml:space="preserve"> </w:t>
      </w:r>
      <w:r w:rsidRPr="0069784D">
        <w:rPr>
          <w:color w:val="000000"/>
          <w:lang w:val="nl-BE"/>
        </w:rPr>
        <w:t>of</w:t>
      </w:r>
    </w:p>
    <w:p w14:paraId="64DDB28B" w14:textId="77777777" w:rsidR="009B112A" w:rsidRPr="0069784D" w:rsidRDefault="009B112A" w:rsidP="009C15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lang w:val="nl-BE"/>
        </w:rPr>
      </w:pPr>
      <w:r w:rsidRPr="0069784D">
        <w:rPr>
          <w:color w:val="000000"/>
          <w:lang w:val="nl-BE"/>
        </w:rPr>
        <w:t>3° de daad wordt beschouwd als een daad van ontucht of prostitutie als bedoeld in onderafdeling 2 van afdeling 2, luidende "Seksuele uitbuiting van minderjarigen met het oog op prostitutie”.</w:t>
      </w:r>
    </w:p>
    <w:p w14:paraId="281779E8" w14:textId="77777777" w:rsidR="009B112A" w:rsidRPr="0069784D" w:rsidRDefault="009B112A" w:rsidP="009C15CF">
      <w:pPr>
        <w:autoSpaceDE w:val="0"/>
        <w:autoSpaceDN w:val="0"/>
        <w:adjustRightInd w:val="0"/>
        <w:spacing w:after="0" w:line="240" w:lineRule="auto"/>
        <w:jc w:val="both"/>
        <w:rPr>
          <w:color w:val="000000"/>
          <w:lang w:val="nl-BE"/>
        </w:rPr>
      </w:pPr>
    </w:p>
    <w:p w14:paraId="27AC72FA" w14:textId="0A79FED6" w:rsidR="009B112A" w:rsidRPr="0069784D" w:rsidRDefault="009B112A" w:rsidP="009C15CF">
      <w:pPr>
        <w:jc w:val="both"/>
        <w:rPr>
          <w:rFonts w:cstheme="minorHAnsi"/>
          <w:lang w:val="nl-BE"/>
        </w:rPr>
      </w:pPr>
      <w:r w:rsidRPr="0069784D">
        <w:rPr>
          <w:rFonts w:cstheme="minorHAnsi"/>
          <w:lang w:val="nl-BE"/>
        </w:rPr>
        <w:t xml:space="preserve">De toestemming met een seksuele handeling kan rechtsgeldig gegeven worden vanaf de leeftijd van </w:t>
      </w:r>
      <w:r w:rsidRPr="0069784D">
        <w:rPr>
          <w:rFonts w:cstheme="minorHAnsi"/>
          <w:b/>
          <w:lang w:val="nl-BE"/>
        </w:rPr>
        <w:t>16 jaar</w:t>
      </w:r>
      <w:r w:rsidR="00F050A4" w:rsidRPr="0069784D">
        <w:rPr>
          <w:rStyle w:val="FootnoteReference"/>
          <w:rFonts w:cstheme="minorHAnsi"/>
          <w:lang w:val="nl-BE"/>
        </w:rPr>
        <w:footnoteReference w:customMarkFollows="1" w:id="17"/>
        <w:t>17</w:t>
      </w:r>
      <w:r w:rsidRPr="0069784D">
        <w:rPr>
          <w:rFonts w:cstheme="minorHAnsi"/>
          <w:lang w:val="nl-BE"/>
        </w:rPr>
        <w:t>.</w:t>
      </w:r>
    </w:p>
    <w:p w14:paraId="1DC3B56B" w14:textId="19B16A9D" w:rsidR="009B112A" w:rsidRPr="0069784D" w:rsidRDefault="009B112A" w:rsidP="009C15CF">
      <w:pPr>
        <w:jc w:val="both"/>
        <w:rPr>
          <w:rFonts w:cstheme="minorHAnsi"/>
          <w:lang w:val="nl-BE"/>
        </w:rPr>
      </w:pPr>
      <w:r w:rsidRPr="0069784D">
        <w:rPr>
          <w:rFonts w:cstheme="minorHAnsi"/>
          <w:lang w:val="nl-BE"/>
        </w:rPr>
        <w:t xml:space="preserve">Zolang de volle leeftijd van 16 jaar niet bereikt is, bestaat er een </w:t>
      </w:r>
      <w:r w:rsidRPr="0069784D">
        <w:rPr>
          <w:rFonts w:cstheme="minorHAnsi"/>
          <w:b/>
          <w:bCs/>
          <w:lang w:val="nl-BE"/>
        </w:rPr>
        <w:t>onweerlegbaar vermoeden</w:t>
      </w:r>
      <w:r w:rsidR="00F050A4" w:rsidRPr="0069784D">
        <w:rPr>
          <w:rStyle w:val="FootnoteReference"/>
          <w:rFonts w:cstheme="minorHAnsi"/>
          <w:lang w:val="nl-BE"/>
        </w:rPr>
        <w:footnoteReference w:customMarkFollows="1" w:id="18"/>
        <w:t>18</w:t>
      </w:r>
      <w:r w:rsidRPr="0069784D">
        <w:rPr>
          <w:rFonts w:cstheme="minorHAnsi"/>
          <w:lang w:val="nl-BE"/>
        </w:rPr>
        <w:t xml:space="preserve"> van afwezigheid van toestemming</w:t>
      </w:r>
      <w:r w:rsidR="00F050A4" w:rsidRPr="0069784D">
        <w:rPr>
          <w:rStyle w:val="FootnoteReference"/>
          <w:rFonts w:cstheme="minorHAnsi"/>
          <w:lang w:val="nl-BE"/>
        </w:rPr>
        <w:footnoteReference w:customMarkFollows="1" w:id="19"/>
        <w:t>19</w:t>
      </w:r>
      <w:r w:rsidRPr="0069784D">
        <w:rPr>
          <w:rFonts w:cstheme="minorHAnsi"/>
          <w:lang w:val="nl-BE"/>
        </w:rPr>
        <w:t>.</w:t>
      </w:r>
    </w:p>
    <w:p w14:paraId="7813801E" w14:textId="4AC91E34" w:rsidR="009B112A" w:rsidRPr="00862E50" w:rsidRDefault="009B112A" w:rsidP="009C15CF">
      <w:pPr>
        <w:jc w:val="both"/>
        <w:rPr>
          <w:rFonts w:cstheme="minorHAnsi"/>
          <w:lang w:val="nl-BE"/>
        </w:rPr>
      </w:pPr>
      <w:r w:rsidRPr="00862E50">
        <w:rPr>
          <w:rFonts w:cstheme="minorHAnsi"/>
          <w:u w:val="single"/>
          <w:lang w:val="nl-BE"/>
        </w:rPr>
        <w:t xml:space="preserve">Niettemin </w:t>
      </w:r>
      <w:r w:rsidR="006F39A5" w:rsidRPr="00862E50">
        <w:rPr>
          <w:rFonts w:cstheme="minorHAnsi"/>
          <w:u w:val="single"/>
          <w:lang w:val="nl-BE"/>
        </w:rPr>
        <w:t>heeft de wetgever</w:t>
      </w:r>
      <w:r w:rsidRPr="00862E50">
        <w:rPr>
          <w:rFonts w:cstheme="minorHAnsi"/>
          <w:u w:val="single"/>
          <w:lang w:val="nl-BE"/>
        </w:rPr>
        <w:t xml:space="preserve"> een aantal corrigerende elementen in</w:t>
      </w:r>
      <w:r w:rsidRPr="00B526DA">
        <w:rPr>
          <w:rFonts w:cstheme="minorHAnsi"/>
          <w:u w:val="single"/>
          <w:lang w:val="nl-BE"/>
        </w:rPr>
        <w:t>ge</w:t>
      </w:r>
      <w:r w:rsidR="006F39A5" w:rsidRPr="00B526DA">
        <w:rPr>
          <w:rFonts w:cstheme="minorHAnsi"/>
          <w:u w:val="single"/>
          <w:lang w:val="nl-BE"/>
        </w:rPr>
        <w:t>bouwd</w:t>
      </w:r>
      <w:r w:rsidRPr="00862E50">
        <w:rPr>
          <w:rFonts w:cstheme="minorHAnsi"/>
          <w:lang w:val="nl-BE"/>
        </w:rPr>
        <w:t>:</w:t>
      </w:r>
    </w:p>
    <w:p w14:paraId="0DA17FB1" w14:textId="0AFC85E4" w:rsidR="006F39A5" w:rsidRPr="0069784D" w:rsidRDefault="009B112A" w:rsidP="009C15CF">
      <w:pPr>
        <w:jc w:val="both"/>
        <w:rPr>
          <w:rFonts w:cstheme="minorHAnsi"/>
          <w:b/>
          <w:lang w:val="nl-BE"/>
        </w:rPr>
      </w:pPr>
      <w:r w:rsidRPr="0069784D">
        <w:rPr>
          <w:rFonts w:cstheme="minorHAnsi"/>
          <w:lang w:val="nl-BE"/>
        </w:rPr>
        <w:lastRenderedPageBreak/>
        <w:t xml:space="preserve">1. mogelijkheid om toe te stemmen voor </w:t>
      </w:r>
      <w:r w:rsidRPr="004E4270">
        <w:rPr>
          <w:rFonts w:cstheme="minorHAnsi"/>
          <w:lang w:val="nl-BE"/>
        </w:rPr>
        <w:t>een minderjarige van</w:t>
      </w:r>
      <w:r w:rsidR="006F39A5" w:rsidRPr="004E4270">
        <w:rPr>
          <w:rFonts w:cstheme="minorHAnsi"/>
          <w:lang w:val="nl-BE"/>
        </w:rPr>
        <w:t>af</w:t>
      </w:r>
      <w:r w:rsidRPr="004E4270">
        <w:rPr>
          <w:rFonts w:cstheme="minorHAnsi"/>
          <w:lang w:val="nl-BE"/>
        </w:rPr>
        <w:t xml:space="preserve"> </w:t>
      </w:r>
      <w:r w:rsidRPr="004E4270">
        <w:rPr>
          <w:rFonts w:cstheme="minorHAnsi"/>
          <w:b/>
          <w:lang w:val="nl-BE"/>
        </w:rPr>
        <w:t>14 jaar indien het leeftijdsverschil met de andere persoon drie jaar niet over</w:t>
      </w:r>
      <w:r w:rsidR="006F39A5" w:rsidRPr="004E4270">
        <w:rPr>
          <w:rFonts w:cstheme="minorHAnsi"/>
          <w:b/>
          <w:lang w:val="nl-BE"/>
        </w:rPr>
        <w:t>stijgt</w:t>
      </w:r>
    </w:p>
    <w:p w14:paraId="3340FAC9" w14:textId="3C48D553" w:rsidR="009B112A" w:rsidRPr="0069784D" w:rsidRDefault="009B112A" w:rsidP="009C15CF">
      <w:pPr>
        <w:jc w:val="both"/>
        <w:rPr>
          <w:rFonts w:cstheme="minorHAnsi"/>
          <w:lang w:val="nl-BE"/>
        </w:rPr>
      </w:pPr>
      <w:r w:rsidRPr="0069784D">
        <w:rPr>
          <w:rFonts w:cstheme="minorHAnsi"/>
          <w:lang w:val="nl-BE"/>
        </w:rPr>
        <w:t xml:space="preserve">2. geen misdrijf </w:t>
      </w:r>
      <w:r w:rsidR="006F39A5" w:rsidRPr="004E4270">
        <w:rPr>
          <w:rFonts w:cstheme="minorHAnsi"/>
          <w:lang w:val="nl-BE"/>
        </w:rPr>
        <w:t xml:space="preserve">in geval van </w:t>
      </w:r>
      <w:r w:rsidRPr="004E4270">
        <w:rPr>
          <w:rFonts w:cstheme="minorHAnsi"/>
          <w:lang w:val="nl-BE"/>
        </w:rPr>
        <w:t xml:space="preserve">wederzijdse </w:t>
      </w:r>
      <w:r w:rsidRPr="0069784D">
        <w:rPr>
          <w:rFonts w:cstheme="minorHAnsi"/>
          <w:lang w:val="nl-BE"/>
        </w:rPr>
        <w:t xml:space="preserve">toestemming voor seksuele handelingen </w:t>
      </w:r>
      <w:r w:rsidRPr="0069784D">
        <w:rPr>
          <w:rFonts w:cstheme="minorHAnsi"/>
          <w:b/>
          <w:bCs/>
          <w:lang w:val="nl-BE"/>
        </w:rPr>
        <w:t>tussen minderjarigen die de leeftijd van 14 jaar bereikt hebben</w:t>
      </w:r>
      <w:r w:rsidRPr="0069784D">
        <w:rPr>
          <w:rFonts w:cstheme="minorHAnsi"/>
          <w:lang w:val="nl-BE"/>
        </w:rPr>
        <w:t xml:space="preserve"> (zelfs bij een groter leeftijdsverschil dan drie jaar)</w:t>
      </w:r>
      <w:r w:rsidR="0074412A" w:rsidRPr="0069784D">
        <w:rPr>
          <w:rStyle w:val="FootnoteReference"/>
          <w:rFonts w:cstheme="minorHAnsi"/>
          <w:lang w:val="nl-BE"/>
        </w:rPr>
        <w:footnoteReference w:customMarkFollows="1" w:id="20"/>
        <w:t>20</w:t>
      </w:r>
      <w:r w:rsidRPr="0069784D">
        <w:rPr>
          <w:rFonts w:cstheme="minorHAnsi"/>
          <w:lang w:val="nl-BE"/>
        </w:rPr>
        <w:t xml:space="preserve"> </w:t>
      </w:r>
      <w:r w:rsidR="0074412A" w:rsidRPr="0069784D">
        <w:rPr>
          <w:rStyle w:val="FootnoteReference"/>
          <w:rFonts w:cstheme="minorHAnsi"/>
          <w:lang w:val="nl-BE"/>
        </w:rPr>
        <w:footnoteReference w:customMarkFollows="1" w:id="21"/>
        <w:t>21</w:t>
      </w:r>
      <w:r w:rsidRPr="0069784D">
        <w:rPr>
          <w:rFonts w:cstheme="minorHAnsi"/>
          <w:lang w:val="nl-BE"/>
        </w:rPr>
        <w:t>.</w:t>
      </w:r>
    </w:p>
    <w:p w14:paraId="5EE1ADB6" w14:textId="0DA0974B" w:rsidR="009B112A" w:rsidRPr="0069784D" w:rsidRDefault="009B112A" w:rsidP="009C15CF">
      <w:pPr>
        <w:spacing w:after="0"/>
        <w:jc w:val="both"/>
        <w:rPr>
          <w:rFonts w:cstheme="minorHAnsi"/>
          <w:lang w:val="nl-BE"/>
        </w:rPr>
      </w:pPr>
      <w:r w:rsidRPr="0069784D">
        <w:rPr>
          <w:rFonts w:cstheme="minorHAnsi"/>
          <w:lang w:val="nl-BE"/>
        </w:rPr>
        <w:t xml:space="preserve">3. </w:t>
      </w:r>
      <w:r w:rsidRPr="0069784D">
        <w:rPr>
          <w:rFonts w:cstheme="minorHAnsi"/>
          <w:b/>
          <w:lang w:val="nl-BE"/>
        </w:rPr>
        <w:t>Onweerlegbaar vermoeden</w:t>
      </w:r>
      <w:r w:rsidR="0074412A" w:rsidRPr="0069784D">
        <w:rPr>
          <w:rStyle w:val="FootnoteReference"/>
          <w:rFonts w:cstheme="minorHAnsi"/>
          <w:bCs/>
          <w:lang w:val="nl-BE"/>
        </w:rPr>
        <w:footnoteReference w:customMarkFollows="1" w:id="22"/>
        <w:t>22</w:t>
      </w:r>
      <w:r w:rsidRPr="0069784D">
        <w:rPr>
          <w:rFonts w:cstheme="minorHAnsi"/>
          <w:b/>
          <w:lang w:val="nl-BE"/>
        </w:rPr>
        <w:t xml:space="preserve"> van niet-toestemming van de minderjarige, zelfs boven de leeftijd van 16 jaar, </w:t>
      </w:r>
      <w:r w:rsidRPr="0069784D">
        <w:rPr>
          <w:rFonts w:cstheme="minorHAnsi"/>
          <w:bCs/>
          <w:lang w:val="nl-BE"/>
        </w:rPr>
        <w:t>in volgende gevallen</w:t>
      </w:r>
      <w:r w:rsidRPr="0069784D">
        <w:rPr>
          <w:rFonts w:cstheme="minorHAnsi"/>
          <w:lang w:val="nl-BE"/>
        </w:rPr>
        <w:t>:</w:t>
      </w:r>
    </w:p>
    <w:p w14:paraId="12D1FDE8" w14:textId="77777777" w:rsidR="009B112A" w:rsidRPr="0069784D" w:rsidRDefault="009B112A" w:rsidP="009C15CF">
      <w:pPr>
        <w:pStyle w:val="ListParagraph"/>
        <w:numPr>
          <w:ilvl w:val="0"/>
          <w:numId w:val="2"/>
        </w:numPr>
        <w:jc w:val="both"/>
        <w:rPr>
          <w:rFonts w:cstheme="minorHAnsi"/>
          <w:b/>
          <w:lang w:val="fr-FR"/>
        </w:rPr>
      </w:pPr>
      <w:r w:rsidRPr="0069784D">
        <w:rPr>
          <w:rFonts w:cstheme="minorHAnsi"/>
          <w:b/>
          <w:lang w:val="fr-FR"/>
        </w:rPr>
        <w:t>Bloedverwant/samenwonende die gezag uitoefent</w:t>
      </w:r>
    </w:p>
    <w:p w14:paraId="1D065825" w14:textId="77777777" w:rsidR="009B112A" w:rsidRPr="0069784D" w:rsidRDefault="009B112A" w:rsidP="009C15CF">
      <w:pPr>
        <w:pStyle w:val="ListParagraph"/>
        <w:numPr>
          <w:ilvl w:val="0"/>
          <w:numId w:val="2"/>
        </w:numPr>
        <w:jc w:val="both"/>
        <w:rPr>
          <w:rFonts w:cstheme="minorHAnsi"/>
          <w:b/>
          <w:lang w:val="nl-BE"/>
        </w:rPr>
      </w:pPr>
      <w:r w:rsidRPr="0069784D">
        <w:rPr>
          <w:rFonts w:cstheme="minorHAnsi"/>
          <w:b/>
          <w:lang w:val="nl-BE"/>
        </w:rPr>
        <w:t>Erkende positie van vertrouwen, gezag of invloed</w:t>
      </w:r>
    </w:p>
    <w:p w14:paraId="46622DC5" w14:textId="3693A11F" w:rsidR="009B112A" w:rsidRDefault="009B112A" w:rsidP="009C15CF">
      <w:pPr>
        <w:pStyle w:val="ListParagraph"/>
        <w:numPr>
          <w:ilvl w:val="0"/>
          <w:numId w:val="2"/>
        </w:numPr>
        <w:jc w:val="both"/>
        <w:rPr>
          <w:rFonts w:cstheme="minorHAnsi"/>
          <w:b/>
          <w:lang w:val="fr-FR"/>
        </w:rPr>
      </w:pPr>
      <w:r w:rsidRPr="0069784D">
        <w:rPr>
          <w:rFonts w:cstheme="minorHAnsi"/>
          <w:b/>
          <w:lang w:val="fr-FR"/>
        </w:rPr>
        <w:t>Ontucht of prostitutie</w:t>
      </w:r>
    </w:p>
    <w:p w14:paraId="5899017F" w14:textId="77777777" w:rsidR="006F39A5" w:rsidRPr="006F39A5" w:rsidRDefault="006F39A5" w:rsidP="009C15CF">
      <w:pPr>
        <w:pStyle w:val="ListParagraph"/>
        <w:jc w:val="both"/>
        <w:rPr>
          <w:rFonts w:cstheme="minorHAnsi"/>
          <w:b/>
          <w:lang w:val="fr-FR"/>
        </w:rPr>
      </w:pPr>
    </w:p>
    <w:p w14:paraId="3F82A812" w14:textId="77777777" w:rsidR="009B112A" w:rsidRPr="0069784D" w:rsidRDefault="009B112A" w:rsidP="009C15CF">
      <w:pPr>
        <w:pStyle w:val="ListParagraph"/>
        <w:numPr>
          <w:ilvl w:val="0"/>
          <w:numId w:val="2"/>
        </w:numPr>
        <w:jc w:val="both"/>
        <w:rPr>
          <w:rFonts w:cstheme="minorHAnsi"/>
          <w:u w:val="single"/>
          <w:lang w:val="nl-BE"/>
        </w:rPr>
      </w:pPr>
      <w:r w:rsidRPr="0069784D">
        <w:rPr>
          <w:rFonts w:cstheme="minorHAnsi"/>
          <w:u w:val="single"/>
          <w:lang w:val="nl-BE"/>
        </w:rPr>
        <w:t>Bloedverwant/samenwonende die gezag uitoefent</w:t>
      </w:r>
    </w:p>
    <w:p w14:paraId="12769BA6" w14:textId="37C2D9CD" w:rsidR="009B112A" w:rsidRPr="0069784D" w:rsidRDefault="006F39A5" w:rsidP="009C15CF">
      <w:pPr>
        <w:jc w:val="both"/>
        <w:rPr>
          <w:rFonts w:cstheme="minorHAnsi"/>
          <w:lang w:val="nl-BE"/>
        </w:rPr>
      </w:pPr>
      <w:r w:rsidRPr="004E4270">
        <w:rPr>
          <w:rFonts w:cstheme="minorHAnsi"/>
          <w:lang w:val="nl-BE"/>
        </w:rPr>
        <w:t xml:space="preserve">Geviseerd werden </w:t>
      </w:r>
      <w:r w:rsidR="009B112A" w:rsidRPr="0069784D">
        <w:rPr>
          <w:rFonts w:cstheme="minorHAnsi"/>
          <w:lang w:val="nl-BE"/>
        </w:rPr>
        <w:t xml:space="preserve">de gevallen waarin het seksueel misbruik van het type </w:t>
      </w:r>
      <w:r w:rsidR="0069255C" w:rsidRPr="0069784D">
        <w:rPr>
          <w:rFonts w:cstheme="minorHAnsi"/>
          <w:lang w:val="nl-BE"/>
        </w:rPr>
        <w:t>‘</w:t>
      </w:r>
      <w:r w:rsidR="009B112A" w:rsidRPr="0069784D">
        <w:rPr>
          <w:rFonts w:cstheme="minorHAnsi"/>
          <w:lang w:val="nl-BE"/>
        </w:rPr>
        <w:t>incest</w:t>
      </w:r>
      <w:r w:rsidR="0069255C" w:rsidRPr="0069784D">
        <w:rPr>
          <w:rFonts w:cstheme="minorHAnsi"/>
          <w:lang w:val="nl-BE"/>
        </w:rPr>
        <w:t>’</w:t>
      </w:r>
      <w:r w:rsidR="009B112A" w:rsidRPr="0069784D">
        <w:rPr>
          <w:rFonts w:cstheme="minorHAnsi"/>
          <w:lang w:val="nl-BE"/>
        </w:rPr>
        <w:t xml:space="preserve"> op jonge leeftijd begon</w:t>
      </w:r>
      <w:r w:rsidR="004E4270">
        <w:rPr>
          <w:rFonts w:cstheme="minorHAnsi"/>
          <w:lang w:val="nl-BE"/>
        </w:rPr>
        <w:t>,</w:t>
      </w:r>
      <w:r w:rsidR="009B112A" w:rsidRPr="0069784D">
        <w:rPr>
          <w:rFonts w:cstheme="minorHAnsi"/>
          <w:lang w:val="nl-BE"/>
        </w:rPr>
        <w:t xml:space="preserve"> maar bleef voortduren tot na de leeftijd van de seksuele meerderjarigheid, zijnde de leeftijd van 16 jaar. </w:t>
      </w:r>
    </w:p>
    <w:p w14:paraId="6B3DF25D" w14:textId="5CFC78FB" w:rsidR="009B112A" w:rsidRPr="0069784D" w:rsidRDefault="009B112A" w:rsidP="009C15CF">
      <w:pPr>
        <w:jc w:val="both"/>
        <w:rPr>
          <w:rFonts w:cstheme="minorHAnsi"/>
          <w:lang w:val="nl-BE"/>
        </w:rPr>
      </w:pPr>
      <w:r w:rsidRPr="0069784D">
        <w:rPr>
          <w:rFonts w:cstheme="minorHAnsi"/>
          <w:lang w:val="nl-BE"/>
        </w:rPr>
        <w:t xml:space="preserve">Het gaat hierbij om gevallen waarin de dader </w:t>
      </w:r>
      <w:r w:rsidR="00D12C38" w:rsidRPr="004E4270">
        <w:rPr>
          <w:rFonts w:cstheme="minorHAnsi"/>
          <w:lang w:val="nl-BE"/>
        </w:rPr>
        <w:t xml:space="preserve">één van de </w:t>
      </w:r>
      <w:r w:rsidRPr="0069784D">
        <w:rPr>
          <w:rFonts w:cstheme="minorHAnsi"/>
          <w:lang w:val="nl-BE"/>
        </w:rPr>
        <w:t>volgende hoedanigheden heeft:</w:t>
      </w:r>
    </w:p>
    <w:p w14:paraId="4287C96E" w14:textId="77777777" w:rsidR="009B112A" w:rsidRPr="0069784D" w:rsidRDefault="009B112A" w:rsidP="009C15CF">
      <w:pPr>
        <w:jc w:val="both"/>
        <w:rPr>
          <w:rFonts w:cstheme="minorHAnsi"/>
          <w:lang w:val="nl-BE"/>
        </w:rPr>
      </w:pPr>
      <w:r w:rsidRPr="0069784D">
        <w:rPr>
          <w:rFonts w:cstheme="minorHAnsi"/>
          <w:lang w:val="nl-BE"/>
        </w:rPr>
        <w:t>- bloedverwant of aanverwant in de rechte opgaande lijn</w:t>
      </w:r>
    </w:p>
    <w:p w14:paraId="6E474D4F" w14:textId="77777777" w:rsidR="009B112A" w:rsidRPr="0069784D" w:rsidRDefault="009B112A" w:rsidP="009C15CF">
      <w:pPr>
        <w:jc w:val="both"/>
        <w:rPr>
          <w:rFonts w:cstheme="minorHAnsi"/>
          <w:lang w:val="nl-BE"/>
        </w:rPr>
      </w:pPr>
      <w:r w:rsidRPr="0069784D">
        <w:rPr>
          <w:rFonts w:cstheme="minorHAnsi"/>
          <w:lang w:val="nl-BE"/>
        </w:rPr>
        <w:t>- adoptant</w:t>
      </w:r>
    </w:p>
    <w:p w14:paraId="406DD36C" w14:textId="6BA56E2F" w:rsidR="009B112A" w:rsidRPr="0069784D" w:rsidRDefault="009B112A" w:rsidP="009C15CF">
      <w:pPr>
        <w:jc w:val="both"/>
        <w:rPr>
          <w:rFonts w:cstheme="minorHAnsi"/>
          <w:lang w:val="nl-BE"/>
        </w:rPr>
      </w:pPr>
      <w:r w:rsidRPr="0069784D">
        <w:rPr>
          <w:rFonts w:cstheme="minorHAnsi"/>
          <w:lang w:val="nl-BE"/>
        </w:rPr>
        <w:t>- bloedverwant of aanverwant in de zijlijn tot en met de derde graad</w:t>
      </w:r>
      <w:r w:rsidR="0074412A" w:rsidRPr="0069784D">
        <w:rPr>
          <w:rStyle w:val="FootnoteReference"/>
          <w:rFonts w:cstheme="minorHAnsi"/>
          <w:lang w:val="nl-BE"/>
        </w:rPr>
        <w:footnoteReference w:customMarkFollows="1" w:id="23"/>
        <w:t>23</w:t>
      </w:r>
    </w:p>
    <w:p w14:paraId="5054BCA9" w14:textId="77777777" w:rsidR="009B112A" w:rsidRPr="0069784D" w:rsidRDefault="009B112A" w:rsidP="009C15CF">
      <w:pPr>
        <w:jc w:val="both"/>
        <w:rPr>
          <w:rFonts w:cstheme="minorHAnsi"/>
          <w:lang w:val="nl-BE"/>
        </w:rPr>
      </w:pPr>
      <w:r w:rsidRPr="0069784D">
        <w:rPr>
          <w:rFonts w:cstheme="minorHAnsi"/>
          <w:lang w:val="nl-BE"/>
        </w:rPr>
        <w:t>- ieder ander persoon die een soortgelijke positie heeft in het gezin</w:t>
      </w:r>
    </w:p>
    <w:p w14:paraId="5DD684D9" w14:textId="77777777" w:rsidR="009B112A" w:rsidRPr="0069784D" w:rsidRDefault="009B112A" w:rsidP="009C15CF">
      <w:pPr>
        <w:jc w:val="both"/>
        <w:rPr>
          <w:rFonts w:cstheme="minorHAnsi"/>
          <w:lang w:val="nl-BE"/>
        </w:rPr>
      </w:pPr>
      <w:r w:rsidRPr="0069784D">
        <w:rPr>
          <w:rFonts w:cstheme="minorHAnsi"/>
          <w:lang w:val="nl-BE"/>
        </w:rPr>
        <w:t xml:space="preserve">- ieder persoon die gewoonlijk of occasioneel met de minderjarige samenwoont </w:t>
      </w:r>
      <w:r w:rsidRPr="0069784D">
        <w:rPr>
          <w:rFonts w:cstheme="minorHAnsi"/>
          <w:b/>
          <w:lang w:val="nl-BE"/>
        </w:rPr>
        <w:t xml:space="preserve">en </w:t>
      </w:r>
      <w:r w:rsidRPr="0069784D">
        <w:rPr>
          <w:rFonts w:cstheme="minorHAnsi"/>
          <w:lang w:val="nl-BE"/>
        </w:rPr>
        <w:t>gezag over hem uitoefent.</w:t>
      </w:r>
    </w:p>
    <w:p w14:paraId="09B3506D" w14:textId="31AE6429" w:rsidR="009B112A" w:rsidRPr="0069784D" w:rsidRDefault="009B112A" w:rsidP="009C15CF">
      <w:pPr>
        <w:jc w:val="both"/>
        <w:rPr>
          <w:rFonts w:cstheme="minorHAnsi"/>
          <w:lang w:val="nl-BE"/>
        </w:rPr>
      </w:pPr>
      <w:r w:rsidRPr="0069784D">
        <w:rPr>
          <w:rFonts w:cstheme="minorHAnsi"/>
          <w:lang w:val="nl-BE"/>
        </w:rPr>
        <w:lastRenderedPageBreak/>
        <w:t>Deze bepaling heeft niet exact op dezelfde bloedverwanten betrekking die in het vroegere artikel 372, lid 2 van het Strafwetboek vermeld werden</w:t>
      </w:r>
      <w:r w:rsidR="0074412A" w:rsidRPr="0069784D">
        <w:rPr>
          <w:rStyle w:val="FootnoteReference"/>
          <w:rFonts w:cstheme="minorHAnsi"/>
          <w:lang w:val="nl-BE"/>
        </w:rPr>
        <w:footnoteReference w:customMarkFollows="1" w:id="24"/>
        <w:t>24</w:t>
      </w:r>
      <w:r w:rsidRPr="0069784D">
        <w:rPr>
          <w:rFonts w:cstheme="minorHAnsi"/>
          <w:lang w:val="nl-BE"/>
        </w:rPr>
        <w:t>.</w:t>
      </w:r>
    </w:p>
    <w:p w14:paraId="3F212609" w14:textId="2D29ECB5" w:rsidR="009B112A" w:rsidRPr="0069784D" w:rsidRDefault="009B112A" w:rsidP="009C15CF">
      <w:pPr>
        <w:jc w:val="both"/>
        <w:rPr>
          <w:rFonts w:cstheme="minorHAnsi"/>
          <w:lang w:val="nl-BE"/>
        </w:rPr>
      </w:pPr>
      <w:r w:rsidRPr="0069784D">
        <w:rPr>
          <w:rFonts w:cstheme="minorHAnsi"/>
          <w:lang w:val="nl-BE"/>
        </w:rPr>
        <w:t xml:space="preserve">Artikel 372, lid 2 </w:t>
      </w:r>
      <w:r w:rsidR="0069255C" w:rsidRPr="0069784D">
        <w:rPr>
          <w:rFonts w:cstheme="minorHAnsi"/>
          <w:lang w:val="nl-BE"/>
        </w:rPr>
        <w:t>beoogde immers</w:t>
      </w:r>
      <w:r w:rsidRPr="0069784D">
        <w:rPr>
          <w:rFonts w:cstheme="minorHAnsi"/>
          <w:lang w:val="nl-BE"/>
        </w:rPr>
        <w:t xml:space="preserve"> alle bloedverwanten, zonder beperking, evenals de broers en zusters, terwijl de nieuwe bepaling betrekking heeft op de bloed- en aanverwanten in de </w:t>
      </w:r>
      <w:r w:rsidRPr="0069784D">
        <w:rPr>
          <w:rFonts w:cstheme="minorHAnsi"/>
          <w:u w:val="single"/>
          <w:lang w:val="nl-BE"/>
        </w:rPr>
        <w:t>rechte</w:t>
      </w:r>
      <w:r w:rsidRPr="0069784D">
        <w:rPr>
          <w:rFonts w:cstheme="minorHAnsi"/>
          <w:lang w:val="nl-BE"/>
        </w:rPr>
        <w:t xml:space="preserve"> opgaande lijn, </w:t>
      </w:r>
      <w:r w:rsidR="0069255C" w:rsidRPr="0069784D">
        <w:rPr>
          <w:rFonts w:cstheme="minorHAnsi"/>
          <w:lang w:val="nl-BE"/>
        </w:rPr>
        <w:t>en</w:t>
      </w:r>
      <w:r w:rsidRPr="0069784D">
        <w:rPr>
          <w:rFonts w:cstheme="minorHAnsi"/>
          <w:lang w:val="nl-BE"/>
        </w:rPr>
        <w:t xml:space="preserve"> </w:t>
      </w:r>
      <w:r w:rsidRPr="004E4270">
        <w:rPr>
          <w:rFonts w:cstheme="minorHAnsi"/>
          <w:lang w:val="nl-BE"/>
        </w:rPr>
        <w:t>ook</w:t>
      </w:r>
      <w:r w:rsidR="004E4270">
        <w:rPr>
          <w:rFonts w:cstheme="minorHAnsi"/>
          <w:lang w:val="nl-BE"/>
        </w:rPr>
        <w:t xml:space="preserve"> </w:t>
      </w:r>
      <w:r w:rsidR="00D12C38" w:rsidRPr="004E4270">
        <w:rPr>
          <w:rFonts w:cstheme="minorHAnsi"/>
          <w:lang w:val="nl-BE"/>
        </w:rPr>
        <w:t xml:space="preserve">in </w:t>
      </w:r>
      <w:r w:rsidRPr="0069784D">
        <w:rPr>
          <w:rFonts w:cstheme="minorHAnsi"/>
          <w:lang w:val="nl-BE"/>
        </w:rPr>
        <w:t xml:space="preserve">de zijlijn, zij het beperkt tot de derde graad. Overeenkomstig deze nieuwe bepaling is er bijgevolg ook sprake van een onweerlegbaar vermoeden van niet-toestemming door een minderjarige wanneer de dader de neef of nicht van het slachtoffer is, maar niet langer wanneer de dader bijvoorbeeld een grootoom is. </w:t>
      </w:r>
    </w:p>
    <w:p w14:paraId="75BD0933" w14:textId="77777777" w:rsidR="009B112A" w:rsidRPr="0069784D" w:rsidRDefault="009B112A" w:rsidP="009C15CF">
      <w:pPr>
        <w:jc w:val="both"/>
        <w:rPr>
          <w:rFonts w:cstheme="minorHAnsi"/>
          <w:lang w:val="nl-BE"/>
        </w:rPr>
      </w:pPr>
    </w:p>
    <w:tbl>
      <w:tblPr>
        <w:tblStyle w:val="TableGrid"/>
        <w:tblW w:w="0" w:type="auto"/>
        <w:tblLook w:val="04A0" w:firstRow="1" w:lastRow="0" w:firstColumn="1" w:lastColumn="0" w:noHBand="0" w:noVBand="1"/>
      </w:tblPr>
      <w:tblGrid>
        <w:gridCol w:w="2798"/>
        <w:gridCol w:w="3085"/>
        <w:gridCol w:w="3133"/>
      </w:tblGrid>
      <w:tr w:rsidR="009B112A" w:rsidRPr="0069784D" w14:paraId="0731D01F" w14:textId="77777777" w:rsidTr="00957384">
        <w:tc>
          <w:tcPr>
            <w:tcW w:w="2798" w:type="dxa"/>
          </w:tcPr>
          <w:p w14:paraId="7016D2E0" w14:textId="77777777" w:rsidR="009B112A" w:rsidRPr="0069784D" w:rsidRDefault="009B112A" w:rsidP="009C15CF">
            <w:pPr>
              <w:jc w:val="both"/>
              <w:rPr>
                <w:rFonts w:cstheme="minorHAnsi"/>
                <w:lang w:val="nl-BE"/>
              </w:rPr>
            </w:pPr>
            <w:r w:rsidRPr="0069784D">
              <w:rPr>
                <w:rFonts w:cstheme="minorHAnsi"/>
                <w:lang w:val="nl-BE"/>
              </w:rPr>
              <w:t>Bloedverwanten, met inbegrip van aanverwanten/personen die een gelijkaardige positie hebben</w:t>
            </w:r>
          </w:p>
          <w:p w14:paraId="36A4C433" w14:textId="77777777" w:rsidR="009B112A" w:rsidRPr="0069784D" w:rsidRDefault="009B112A" w:rsidP="009C15CF">
            <w:pPr>
              <w:jc w:val="both"/>
              <w:rPr>
                <w:rFonts w:cstheme="minorHAnsi"/>
                <w:lang w:val="nl-BE"/>
              </w:rPr>
            </w:pPr>
          </w:p>
        </w:tc>
        <w:tc>
          <w:tcPr>
            <w:tcW w:w="3085" w:type="dxa"/>
          </w:tcPr>
          <w:p w14:paraId="6A07B6DC" w14:textId="77777777" w:rsidR="009B112A" w:rsidRPr="0069784D" w:rsidRDefault="009B112A" w:rsidP="009C15CF">
            <w:pPr>
              <w:jc w:val="both"/>
              <w:rPr>
                <w:rFonts w:cstheme="minorHAnsi"/>
                <w:lang w:val="nl-BE"/>
              </w:rPr>
            </w:pPr>
            <w:r w:rsidRPr="0069784D">
              <w:rPr>
                <w:rFonts w:cstheme="minorHAnsi"/>
                <w:lang w:val="nl-BE"/>
              </w:rPr>
              <w:t>372, lid 2 (oud)</w:t>
            </w:r>
          </w:p>
        </w:tc>
        <w:tc>
          <w:tcPr>
            <w:tcW w:w="3133" w:type="dxa"/>
          </w:tcPr>
          <w:p w14:paraId="44FF0A10" w14:textId="77777777" w:rsidR="009B112A" w:rsidRPr="0069784D" w:rsidRDefault="009B112A" w:rsidP="009C15CF">
            <w:pPr>
              <w:jc w:val="both"/>
              <w:rPr>
                <w:rFonts w:cstheme="minorHAnsi"/>
                <w:lang w:val="nl-BE"/>
              </w:rPr>
            </w:pPr>
            <w:r w:rsidRPr="0069784D">
              <w:rPr>
                <w:rFonts w:cstheme="minorHAnsi"/>
                <w:lang w:val="nl-BE"/>
              </w:rPr>
              <w:t>417/6, §3, 1° (nieuw)</w:t>
            </w:r>
          </w:p>
        </w:tc>
      </w:tr>
      <w:tr w:rsidR="009B112A" w:rsidRPr="0069784D" w14:paraId="21D33995" w14:textId="77777777" w:rsidTr="00957384">
        <w:tc>
          <w:tcPr>
            <w:tcW w:w="9016" w:type="dxa"/>
            <w:gridSpan w:val="3"/>
          </w:tcPr>
          <w:p w14:paraId="1D09F39B" w14:textId="77777777" w:rsidR="009B112A" w:rsidRPr="0069784D" w:rsidRDefault="009B112A" w:rsidP="009C15CF">
            <w:pPr>
              <w:jc w:val="both"/>
              <w:rPr>
                <w:rFonts w:cstheme="minorHAnsi"/>
                <w:b/>
                <w:lang w:val="nl-BE"/>
              </w:rPr>
            </w:pPr>
            <w:r w:rsidRPr="0069784D">
              <w:rPr>
                <w:rFonts w:cstheme="minorHAnsi"/>
                <w:b/>
                <w:lang w:val="nl-BE"/>
              </w:rPr>
              <w:t>Rechte lijn</w:t>
            </w:r>
          </w:p>
        </w:tc>
      </w:tr>
      <w:tr w:rsidR="009B112A" w:rsidRPr="001C6BF9" w14:paraId="308301E6" w14:textId="77777777" w:rsidTr="00957384">
        <w:trPr>
          <w:trHeight w:val="975"/>
        </w:trPr>
        <w:tc>
          <w:tcPr>
            <w:tcW w:w="2798" w:type="dxa"/>
          </w:tcPr>
          <w:p w14:paraId="3F54CC6A" w14:textId="77777777" w:rsidR="009B112A" w:rsidRPr="0069784D" w:rsidRDefault="009B112A" w:rsidP="009C15CF">
            <w:pPr>
              <w:jc w:val="both"/>
              <w:rPr>
                <w:rFonts w:cstheme="minorHAnsi"/>
                <w:lang w:val="nl-BE"/>
              </w:rPr>
            </w:pPr>
            <w:r w:rsidRPr="0069784D">
              <w:rPr>
                <w:rFonts w:cstheme="minorHAnsi"/>
                <w:lang w:val="nl-BE"/>
              </w:rPr>
              <w:t>Opgaande lijn</w:t>
            </w:r>
          </w:p>
          <w:p w14:paraId="3332DCB2" w14:textId="77777777" w:rsidR="009B112A" w:rsidRPr="0069784D" w:rsidRDefault="009B112A" w:rsidP="009C15CF">
            <w:pPr>
              <w:jc w:val="both"/>
              <w:rPr>
                <w:rFonts w:cstheme="minorHAnsi"/>
                <w:lang w:val="nl-BE"/>
              </w:rPr>
            </w:pPr>
          </w:p>
        </w:tc>
        <w:tc>
          <w:tcPr>
            <w:tcW w:w="3085" w:type="dxa"/>
          </w:tcPr>
          <w:p w14:paraId="41495881" w14:textId="77777777" w:rsidR="009B112A" w:rsidRPr="0069784D" w:rsidRDefault="009B112A" w:rsidP="009C15CF">
            <w:pPr>
              <w:jc w:val="both"/>
              <w:rPr>
                <w:rFonts w:cstheme="minorHAnsi"/>
                <w:lang w:val="nl-BE"/>
              </w:rPr>
            </w:pPr>
            <w:r w:rsidRPr="0069784D">
              <w:rPr>
                <w:rFonts w:cstheme="minorHAnsi"/>
                <w:lang w:val="nl-BE"/>
              </w:rPr>
              <w:t>Alle bloedverwanten worden bedoeld</w:t>
            </w:r>
          </w:p>
          <w:p w14:paraId="35D51D6A" w14:textId="77777777" w:rsidR="009B112A" w:rsidRPr="0069784D" w:rsidRDefault="009B112A" w:rsidP="009C15CF">
            <w:pPr>
              <w:jc w:val="both"/>
              <w:rPr>
                <w:rFonts w:cstheme="minorHAnsi"/>
                <w:lang w:val="nl-BE"/>
              </w:rPr>
            </w:pPr>
            <w:r w:rsidRPr="0069784D">
              <w:rPr>
                <w:rFonts w:cstheme="minorHAnsi"/>
                <w:lang w:val="nl-BE"/>
              </w:rPr>
              <w:t xml:space="preserve">Rechte of zijlijn </w:t>
            </w:r>
          </w:p>
          <w:p w14:paraId="4BD62919" w14:textId="77777777" w:rsidR="009B112A" w:rsidRPr="0069784D" w:rsidRDefault="009B112A" w:rsidP="009C15CF">
            <w:pPr>
              <w:jc w:val="both"/>
              <w:rPr>
                <w:rFonts w:cstheme="minorHAnsi"/>
                <w:lang w:val="nl-BE"/>
              </w:rPr>
            </w:pPr>
            <w:r w:rsidRPr="0069784D">
              <w:rPr>
                <w:rFonts w:cstheme="minorHAnsi"/>
                <w:lang w:val="nl-BE"/>
              </w:rPr>
              <w:t>Geen beperking van de graad</w:t>
            </w:r>
          </w:p>
        </w:tc>
        <w:tc>
          <w:tcPr>
            <w:tcW w:w="3133" w:type="dxa"/>
          </w:tcPr>
          <w:p w14:paraId="71F389C2" w14:textId="77777777" w:rsidR="009B112A" w:rsidRPr="0069784D" w:rsidRDefault="009B112A" w:rsidP="009C15CF">
            <w:pPr>
              <w:jc w:val="both"/>
              <w:rPr>
                <w:rFonts w:cstheme="minorHAnsi"/>
                <w:lang w:val="nl-BE"/>
              </w:rPr>
            </w:pPr>
            <w:r w:rsidRPr="0069784D">
              <w:rPr>
                <w:rFonts w:cstheme="minorHAnsi"/>
                <w:lang w:val="nl-BE"/>
              </w:rPr>
              <w:t>Ja</w:t>
            </w:r>
          </w:p>
          <w:p w14:paraId="26F8C3F9" w14:textId="77777777" w:rsidR="009B112A" w:rsidRPr="0069784D" w:rsidRDefault="009B112A" w:rsidP="009C15CF">
            <w:pPr>
              <w:jc w:val="both"/>
              <w:rPr>
                <w:rFonts w:cstheme="minorHAnsi"/>
                <w:lang w:val="nl-BE"/>
              </w:rPr>
            </w:pPr>
            <w:r w:rsidRPr="0069784D">
              <w:rPr>
                <w:rFonts w:cstheme="minorHAnsi"/>
                <w:lang w:val="nl-BE"/>
              </w:rPr>
              <w:t>Geen beperking van de graad</w:t>
            </w:r>
          </w:p>
        </w:tc>
      </w:tr>
      <w:tr w:rsidR="009B112A" w:rsidRPr="0069784D" w14:paraId="1554ACB3" w14:textId="77777777" w:rsidTr="00957384">
        <w:tc>
          <w:tcPr>
            <w:tcW w:w="2798" w:type="dxa"/>
          </w:tcPr>
          <w:p w14:paraId="2CEC9140" w14:textId="77777777" w:rsidR="009B112A" w:rsidRPr="0069784D" w:rsidRDefault="009B112A" w:rsidP="009C15CF">
            <w:pPr>
              <w:jc w:val="both"/>
              <w:rPr>
                <w:rFonts w:cstheme="minorHAnsi"/>
                <w:lang w:val="nl-BE"/>
              </w:rPr>
            </w:pPr>
            <w:r w:rsidRPr="0069784D">
              <w:rPr>
                <w:rFonts w:cstheme="minorHAnsi"/>
                <w:lang w:val="nl-BE"/>
              </w:rPr>
              <w:t xml:space="preserve">Adoptant </w:t>
            </w:r>
          </w:p>
        </w:tc>
        <w:tc>
          <w:tcPr>
            <w:tcW w:w="3085" w:type="dxa"/>
          </w:tcPr>
          <w:p w14:paraId="0A8CFCAD" w14:textId="3C6A9F1D" w:rsidR="009B112A" w:rsidRPr="004E4270" w:rsidRDefault="00D12C38" w:rsidP="009C15CF">
            <w:pPr>
              <w:jc w:val="both"/>
              <w:rPr>
                <w:rFonts w:cstheme="minorHAnsi"/>
                <w:strike/>
                <w:lang w:val="nl-BE"/>
              </w:rPr>
            </w:pPr>
            <w:r w:rsidRPr="004E4270">
              <w:rPr>
                <w:rFonts w:cstheme="minorHAnsi"/>
                <w:lang w:val="nl-BE"/>
              </w:rPr>
              <w:t>geviseerd</w:t>
            </w:r>
          </w:p>
        </w:tc>
        <w:tc>
          <w:tcPr>
            <w:tcW w:w="3133" w:type="dxa"/>
          </w:tcPr>
          <w:p w14:paraId="5DC623B5" w14:textId="616700B0" w:rsidR="009B112A" w:rsidRPr="004E4270" w:rsidRDefault="00D12C38" w:rsidP="009C15CF">
            <w:pPr>
              <w:jc w:val="both"/>
              <w:rPr>
                <w:rFonts w:cstheme="minorHAnsi"/>
                <w:lang w:val="nl-BE"/>
              </w:rPr>
            </w:pPr>
            <w:r w:rsidRPr="004E4270">
              <w:rPr>
                <w:rFonts w:cstheme="minorHAnsi"/>
                <w:lang w:val="nl-BE"/>
              </w:rPr>
              <w:t>geviseerd</w:t>
            </w:r>
          </w:p>
        </w:tc>
      </w:tr>
      <w:tr w:rsidR="009B112A" w:rsidRPr="001C6BF9" w14:paraId="63DCC38C" w14:textId="77777777" w:rsidTr="00957384">
        <w:tc>
          <w:tcPr>
            <w:tcW w:w="2798" w:type="dxa"/>
          </w:tcPr>
          <w:p w14:paraId="6C720F9D" w14:textId="77777777" w:rsidR="009B112A" w:rsidRPr="0069784D" w:rsidRDefault="009B112A" w:rsidP="009C15CF">
            <w:pPr>
              <w:jc w:val="both"/>
              <w:rPr>
                <w:rFonts w:cstheme="minorHAnsi"/>
                <w:lang w:val="nl-BE"/>
              </w:rPr>
            </w:pPr>
            <w:r w:rsidRPr="0069784D">
              <w:rPr>
                <w:rFonts w:cstheme="minorHAnsi"/>
                <w:lang w:val="nl-BE"/>
              </w:rPr>
              <w:t>Neergaande lijn</w:t>
            </w:r>
          </w:p>
        </w:tc>
        <w:tc>
          <w:tcPr>
            <w:tcW w:w="3085" w:type="dxa"/>
          </w:tcPr>
          <w:p w14:paraId="6ECDE9E7" w14:textId="1775ED01" w:rsidR="009B112A" w:rsidRPr="004E4270" w:rsidRDefault="009B112A" w:rsidP="009C15CF">
            <w:pPr>
              <w:jc w:val="both"/>
              <w:rPr>
                <w:rFonts w:cstheme="minorHAnsi"/>
                <w:lang w:val="nl-BE"/>
              </w:rPr>
            </w:pPr>
            <w:r w:rsidRPr="004E4270">
              <w:rPr>
                <w:rFonts w:cstheme="minorHAnsi"/>
                <w:lang w:val="nl-BE"/>
              </w:rPr>
              <w:t xml:space="preserve">Vanzelfsprekend niet </w:t>
            </w:r>
            <w:r w:rsidR="00D12C38" w:rsidRPr="004E4270">
              <w:rPr>
                <w:rFonts w:cstheme="minorHAnsi"/>
                <w:strike/>
                <w:lang w:val="nl-BE"/>
              </w:rPr>
              <w:t>bedoeld</w:t>
            </w:r>
            <w:r w:rsidR="00D12C38" w:rsidRPr="004E4270">
              <w:rPr>
                <w:rFonts w:cstheme="minorHAnsi"/>
                <w:lang w:val="nl-BE"/>
              </w:rPr>
              <w:t xml:space="preserve"> geviseerd</w:t>
            </w:r>
            <w:r w:rsidRPr="004E4270">
              <w:rPr>
                <w:rFonts w:cstheme="minorHAnsi"/>
                <w:lang w:val="nl-BE"/>
              </w:rPr>
              <w:t xml:space="preserve"> aangezien het om minderjarige slachtoffers gaat</w:t>
            </w:r>
          </w:p>
        </w:tc>
        <w:tc>
          <w:tcPr>
            <w:tcW w:w="3133" w:type="dxa"/>
          </w:tcPr>
          <w:p w14:paraId="6C932419" w14:textId="7F7DADBE" w:rsidR="009B112A" w:rsidRPr="004E4270" w:rsidRDefault="009B112A" w:rsidP="009C15CF">
            <w:pPr>
              <w:jc w:val="both"/>
              <w:rPr>
                <w:rFonts w:cstheme="minorHAnsi"/>
                <w:lang w:val="nl-BE"/>
              </w:rPr>
            </w:pPr>
            <w:r w:rsidRPr="004E4270">
              <w:rPr>
                <w:rFonts w:cstheme="minorHAnsi"/>
                <w:lang w:val="nl-BE"/>
              </w:rPr>
              <w:t xml:space="preserve">Vanzelfsprekend niet </w:t>
            </w:r>
            <w:r w:rsidR="00D12C38" w:rsidRPr="004E4270">
              <w:rPr>
                <w:rFonts w:cstheme="minorHAnsi"/>
                <w:strike/>
                <w:lang w:val="nl-BE"/>
              </w:rPr>
              <w:t xml:space="preserve">Bedoeld </w:t>
            </w:r>
            <w:r w:rsidR="00D12C38" w:rsidRPr="004E4270">
              <w:rPr>
                <w:rFonts w:cstheme="minorHAnsi"/>
                <w:lang w:val="nl-BE"/>
              </w:rPr>
              <w:t>geviseerd</w:t>
            </w:r>
            <w:r w:rsidRPr="004E4270">
              <w:rPr>
                <w:rFonts w:cstheme="minorHAnsi"/>
                <w:lang w:val="nl-BE"/>
              </w:rPr>
              <w:t xml:space="preserve"> aangezien het om minderjarige slachtoffers gaat</w:t>
            </w:r>
          </w:p>
        </w:tc>
      </w:tr>
      <w:tr w:rsidR="009B112A" w:rsidRPr="0069784D" w14:paraId="60EA5905" w14:textId="77777777" w:rsidTr="00957384">
        <w:tc>
          <w:tcPr>
            <w:tcW w:w="9016" w:type="dxa"/>
            <w:gridSpan w:val="3"/>
          </w:tcPr>
          <w:p w14:paraId="2746C46D" w14:textId="77777777" w:rsidR="009B112A" w:rsidRPr="0069784D" w:rsidRDefault="009B112A" w:rsidP="009C15CF">
            <w:pPr>
              <w:jc w:val="both"/>
              <w:rPr>
                <w:rFonts w:cstheme="minorHAnsi"/>
                <w:b/>
                <w:lang w:val="nl-BE"/>
              </w:rPr>
            </w:pPr>
            <w:r w:rsidRPr="0069784D">
              <w:rPr>
                <w:rFonts w:cstheme="minorHAnsi"/>
                <w:b/>
                <w:lang w:val="nl-BE"/>
              </w:rPr>
              <w:t>Zijlijn</w:t>
            </w:r>
          </w:p>
        </w:tc>
      </w:tr>
      <w:tr w:rsidR="009B112A" w:rsidRPr="0069784D" w14:paraId="1A5C9CEC" w14:textId="77777777" w:rsidTr="00957384">
        <w:tc>
          <w:tcPr>
            <w:tcW w:w="2798" w:type="dxa"/>
          </w:tcPr>
          <w:p w14:paraId="19660357" w14:textId="77777777" w:rsidR="009B112A" w:rsidRPr="0069784D" w:rsidRDefault="009B112A" w:rsidP="009C15CF">
            <w:pPr>
              <w:jc w:val="both"/>
              <w:rPr>
                <w:rFonts w:cstheme="minorHAnsi"/>
                <w:lang w:val="nl-BE"/>
              </w:rPr>
            </w:pPr>
            <w:r w:rsidRPr="0069784D">
              <w:rPr>
                <w:rFonts w:cstheme="minorHAnsi"/>
                <w:lang w:val="nl-BE"/>
              </w:rPr>
              <w:t>Broer-zuster</w:t>
            </w:r>
          </w:p>
        </w:tc>
        <w:tc>
          <w:tcPr>
            <w:tcW w:w="3085" w:type="dxa"/>
          </w:tcPr>
          <w:p w14:paraId="799AD102" w14:textId="5D065517" w:rsidR="009B112A" w:rsidRPr="004E4270" w:rsidRDefault="00D12C38" w:rsidP="009C15CF">
            <w:pPr>
              <w:jc w:val="both"/>
              <w:rPr>
                <w:rFonts w:cstheme="minorHAnsi"/>
                <w:lang w:val="nl-BE"/>
              </w:rPr>
            </w:pPr>
            <w:r w:rsidRPr="004E4270">
              <w:rPr>
                <w:rFonts w:cstheme="minorHAnsi"/>
                <w:lang w:val="nl-BE"/>
              </w:rPr>
              <w:t>geviseerd</w:t>
            </w:r>
          </w:p>
        </w:tc>
        <w:tc>
          <w:tcPr>
            <w:tcW w:w="3133" w:type="dxa"/>
          </w:tcPr>
          <w:p w14:paraId="4351209A" w14:textId="47924205" w:rsidR="009B112A" w:rsidRPr="004E4270" w:rsidRDefault="00D12C38" w:rsidP="009C15CF">
            <w:pPr>
              <w:jc w:val="both"/>
              <w:rPr>
                <w:rFonts w:cstheme="minorHAnsi"/>
                <w:lang w:val="nl-BE"/>
              </w:rPr>
            </w:pPr>
            <w:r w:rsidRPr="004E4270">
              <w:rPr>
                <w:rFonts w:cstheme="minorHAnsi"/>
                <w:lang w:val="nl-BE"/>
              </w:rPr>
              <w:t>geviseerd</w:t>
            </w:r>
          </w:p>
        </w:tc>
      </w:tr>
      <w:tr w:rsidR="009B112A" w:rsidRPr="001C6BF9" w14:paraId="69C81FBA" w14:textId="77777777" w:rsidTr="00957384">
        <w:tc>
          <w:tcPr>
            <w:tcW w:w="2798" w:type="dxa"/>
          </w:tcPr>
          <w:p w14:paraId="6DFCCF91" w14:textId="77777777" w:rsidR="009B112A" w:rsidRPr="0069784D" w:rsidRDefault="009B112A" w:rsidP="009C15CF">
            <w:pPr>
              <w:jc w:val="both"/>
              <w:rPr>
                <w:rFonts w:cstheme="minorHAnsi"/>
                <w:lang w:val="nl-BE"/>
              </w:rPr>
            </w:pPr>
            <w:r w:rsidRPr="0069784D">
              <w:rPr>
                <w:rFonts w:cstheme="minorHAnsi"/>
                <w:lang w:val="nl-BE"/>
              </w:rPr>
              <w:t>Opgaande lijn</w:t>
            </w:r>
          </w:p>
        </w:tc>
        <w:tc>
          <w:tcPr>
            <w:tcW w:w="3085" w:type="dxa"/>
          </w:tcPr>
          <w:p w14:paraId="16B3D29B" w14:textId="56FB4ACA" w:rsidR="009B112A" w:rsidRPr="004E4270" w:rsidRDefault="009B112A" w:rsidP="009C15CF">
            <w:pPr>
              <w:jc w:val="both"/>
              <w:rPr>
                <w:rFonts w:cstheme="minorHAnsi"/>
                <w:lang w:val="nl-BE"/>
              </w:rPr>
            </w:pPr>
            <w:r w:rsidRPr="004E4270">
              <w:rPr>
                <w:rFonts w:cstheme="minorHAnsi"/>
                <w:lang w:val="nl-BE"/>
              </w:rPr>
              <w:t xml:space="preserve">Alle bloedverwanten worden </w:t>
            </w:r>
            <w:r w:rsidR="00D12C38" w:rsidRPr="004E4270">
              <w:rPr>
                <w:rFonts w:cstheme="minorHAnsi"/>
                <w:lang w:val="nl-BE"/>
              </w:rPr>
              <w:t>geviseerd</w:t>
            </w:r>
          </w:p>
          <w:p w14:paraId="0BA35190" w14:textId="77777777" w:rsidR="009B112A" w:rsidRPr="004E4270" w:rsidRDefault="009B112A" w:rsidP="009C15CF">
            <w:pPr>
              <w:jc w:val="both"/>
              <w:rPr>
                <w:rFonts w:cstheme="minorHAnsi"/>
                <w:lang w:val="nl-BE"/>
              </w:rPr>
            </w:pPr>
            <w:r w:rsidRPr="004E4270">
              <w:rPr>
                <w:rFonts w:cstheme="minorHAnsi"/>
                <w:lang w:val="nl-BE"/>
              </w:rPr>
              <w:t xml:space="preserve">Rechte of zijlijn </w:t>
            </w:r>
          </w:p>
          <w:p w14:paraId="137CBF35" w14:textId="77777777" w:rsidR="009B112A" w:rsidRPr="004E4270" w:rsidRDefault="009B112A" w:rsidP="009C15CF">
            <w:pPr>
              <w:jc w:val="both"/>
              <w:rPr>
                <w:rFonts w:cstheme="minorHAnsi"/>
                <w:lang w:val="nl-BE"/>
              </w:rPr>
            </w:pPr>
            <w:r w:rsidRPr="004E4270">
              <w:rPr>
                <w:rFonts w:cstheme="minorHAnsi"/>
                <w:lang w:val="nl-BE"/>
              </w:rPr>
              <w:t>Geen beperking van de graad</w:t>
            </w:r>
          </w:p>
        </w:tc>
        <w:tc>
          <w:tcPr>
            <w:tcW w:w="3133" w:type="dxa"/>
          </w:tcPr>
          <w:p w14:paraId="33C00914" w14:textId="50FB8ABD" w:rsidR="009B112A" w:rsidRPr="004E4270" w:rsidRDefault="00D12C38" w:rsidP="009C15CF">
            <w:pPr>
              <w:jc w:val="both"/>
              <w:rPr>
                <w:rFonts w:cstheme="minorHAnsi"/>
                <w:b/>
                <w:lang w:val="nl-BE"/>
              </w:rPr>
            </w:pPr>
            <w:r w:rsidRPr="004E4270">
              <w:rPr>
                <w:rFonts w:cstheme="minorHAnsi"/>
                <w:lang w:val="nl-BE"/>
              </w:rPr>
              <w:t>geviseerd</w:t>
            </w:r>
            <w:r w:rsidR="009B112A" w:rsidRPr="004E4270">
              <w:rPr>
                <w:rFonts w:cstheme="minorHAnsi"/>
                <w:b/>
                <w:lang w:val="nl-BE"/>
              </w:rPr>
              <w:t xml:space="preserve"> tot de derde graad</w:t>
            </w:r>
          </w:p>
          <w:p w14:paraId="69292046" w14:textId="017115C2" w:rsidR="009B112A" w:rsidRPr="004E4270" w:rsidRDefault="009B112A" w:rsidP="009C15CF">
            <w:pPr>
              <w:jc w:val="both"/>
              <w:rPr>
                <w:rFonts w:cstheme="minorHAnsi"/>
                <w:b/>
                <w:lang w:val="nl-BE"/>
              </w:rPr>
            </w:pPr>
            <w:r w:rsidRPr="004E4270">
              <w:rPr>
                <w:rFonts w:cstheme="minorHAnsi"/>
                <w:b/>
                <w:lang w:val="nl-BE"/>
              </w:rPr>
              <w:t>!</w:t>
            </w:r>
          </w:p>
        </w:tc>
      </w:tr>
      <w:tr w:rsidR="009B112A" w:rsidRPr="001C6BF9" w14:paraId="72ADAD5C" w14:textId="77777777" w:rsidTr="00957384">
        <w:tc>
          <w:tcPr>
            <w:tcW w:w="2798" w:type="dxa"/>
          </w:tcPr>
          <w:p w14:paraId="3D761DE7" w14:textId="77777777" w:rsidR="009B112A" w:rsidRPr="0069784D" w:rsidRDefault="009B112A" w:rsidP="009C15CF">
            <w:pPr>
              <w:jc w:val="both"/>
              <w:rPr>
                <w:rFonts w:cstheme="minorHAnsi"/>
                <w:lang w:val="nl-BE"/>
              </w:rPr>
            </w:pPr>
            <w:r w:rsidRPr="0069784D">
              <w:rPr>
                <w:rFonts w:cstheme="minorHAnsi"/>
                <w:lang w:val="nl-BE"/>
              </w:rPr>
              <w:t>Neergaande lijn</w:t>
            </w:r>
          </w:p>
        </w:tc>
        <w:tc>
          <w:tcPr>
            <w:tcW w:w="3085" w:type="dxa"/>
          </w:tcPr>
          <w:p w14:paraId="77660001" w14:textId="6A5C55F1" w:rsidR="009B112A" w:rsidRPr="004E4270" w:rsidRDefault="001A65AB" w:rsidP="009C15CF">
            <w:pPr>
              <w:jc w:val="both"/>
              <w:rPr>
                <w:rFonts w:cstheme="minorHAnsi"/>
                <w:lang w:val="nl-BE"/>
              </w:rPr>
            </w:pPr>
            <w:r w:rsidRPr="004E4270">
              <w:rPr>
                <w:rFonts w:cstheme="minorHAnsi"/>
                <w:lang w:val="nl-BE"/>
              </w:rPr>
              <w:t>geviseerd</w:t>
            </w:r>
          </w:p>
        </w:tc>
        <w:tc>
          <w:tcPr>
            <w:tcW w:w="3133" w:type="dxa"/>
          </w:tcPr>
          <w:p w14:paraId="1F1B2572" w14:textId="7359EDAB" w:rsidR="009B112A" w:rsidRPr="0069784D" w:rsidRDefault="001A65AB" w:rsidP="009C15CF">
            <w:pPr>
              <w:jc w:val="both"/>
              <w:rPr>
                <w:rFonts w:cstheme="minorHAnsi"/>
                <w:b/>
                <w:lang w:val="nl-BE"/>
              </w:rPr>
            </w:pPr>
            <w:r w:rsidRPr="004E4270">
              <w:rPr>
                <w:rFonts w:cstheme="minorHAnsi"/>
                <w:lang w:val="nl-BE"/>
              </w:rPr>
              <w:t>geviseerd</w:t>
            </w:r>
            <w:r w:rsidR="009B112A" w:rsidRPr="004E4270">
              <w:rPr>
                <w:rFonts w:cstheme="minorHAnsi"/>
                <w:b/>
                <w:lang w:val="nl-BE"/>
              </w:rPr>
              <w:t xml:space="preserve"> </w:t>
            </w:r>
            <w:r w:rsidR="009B112A" w:rsidRPr="0069784D">
              <w:rPr>
                <w:rFonts w:cstheme="minorHAnsi"/>
                <w:bCs/>
                <w:lang w:val="nl-BE"/>
              </w:rPr>
              <w:t>tot de derde graad</w:t>
            </w:r>
          </w:p>
          <w:p w14:paraId="6F783C49" w14:textId="77777777" w:rsidR="009B112A" w:rsidRPr="0069784D" w:rsidRDefault="009B112A" w:rsidP="009C15CF">
            <w:pPr>
              <w:jc w:val="both"/>
              <w:rPr>
                <w:rFonts w:cstheme="minorHAnsi"/>
                <w:b/>
                <w:lang w:val="nl-BE"/>
              </w:rPr>
            </w:pPr>
            <w:r w:rsidRPr="0069784D">
              <w:rPr>
                <w:rFonts w:cstheme="minorHAnsi"/>
                <w:b/>
                <w:lang w:val="nl-BE"/>
              </w:rPr>
              <w:t>&gt; neef-nicht!</w:t>
            </w:r>
          </w:p>
        </w:tc>
      </w:tr>
    </w:tbl>
    <w:p w14:paraId="0BE0918B" w14:textId="77777777" w:rsidR="009B112A" w:rsidRPr="0069784D" w:rsidRDefault="009B112A" w:rsidP="009C15CF">
      <w:pPr>
        <w:jc w:val="both"/>
        <w:rPr>
          <w:rFonts w:cstheme="minorHAnsi"/>
          <w:lang w:val="nl-BE"/>
        </w:rPr>
      </w:pPr>
    </w:p>
    <w:p w14:paraId="413C435C" w14:textId="5BFFACBC" w:rsidR="009B112A" w:rsidRPr="0069784D" w:rsidRDefault="009B112A" w:rsidP="009C15CF">
      <w:pPr>
        <w:jc w:val="both"/>
        <w:rPr>
          <w:rFonts w:cstheme="minorHAnsi"/>
          <w:lang w:val="nl-BE"/>
        </w:rPr>
      </w:pPr>
      <w:r w:rsidRPr="0069784D">
        <w:rPr>
          <w:rFonts w:cstheme="minorHAnsi"/>
          <w:lang w:val="nl-BE"/>
        </w:rPr>
        <w:t xml:space="preserve">De bewoording </w:t>
      </w:r>
      <w:r w:rsidR="003B7A69" w:rsidRPr="0069784D">
        <w:rPr>
          <w:rFonts w:cstheme="minorHAnsi"/>
          <w:lang w:val="nl-BE"/>
        </w:rPr>
        <w:t>‘</w:t>
      </w:r>
      <w:r w:rsidRPr="0069784D">
        <w:rPr>
          <w:rFonts w:cstheme="minorHAnsi"/>
          <w:lang w:val="nl-BE"/>
        </w:rPr>
        <w:t>elke andere persoon die een soortgelijke positie heeft in het gezin</w:t>
      </w:r>
      <w:r w:rsidR="003B7A69" w:rsidRPr="0069784D">
        <w:rPr>
          <w:rFonts w:cstheme="minorHAnsi"/>
          <w:lang w:val="nl-BE"/>
        </w:rPr>
        <w:t>’</w:t>
      </w:r>
      <w:r w:rsidRPr="0069784D">
        <w:rPr>
          <w:rFonts w:cstheme="minorHAnsi"/>
          <w:lang w:val="nl-BE"/>
        </w:rPr>
        <w:t xml:space="preserve"> zorgt ervoor dat ook </w:t>
      </w:r>
      <w:r w:rsidRPr="004E4270">
        <w:rPr>
          <w:rFonts w:cstheme="minorHAnsi"/>
          <w:lang w:val="nl-BE"/>
        </w:rPr>
        <w:t xml:space="preserve">de </w:t>
      </w:r>
      <w:r w:rsidR="001A65AB" w:rsidRPr="004E4270">
        <w:rPr>
          <w:rFonts w:cstheme="minorHAnsi"/>
          <w:lang w:val="nl-BE"/>
        </w:rPr>
        <w:t xml:space="preserve">leden van </w:t>
      </w:r>
      <w:r w:rsidRPr="004E4270">
        <w:rPr>
          <w:rFonts w:cstheme="minorHAnsi"/>
          <w:lang w:val="nl-BE"/>
        </w:rPr>
        <w:t xml:space="preserve">nieuw samengestelde gezinnen of pleeggezinnen </w:t>
      </w:r>
      <w:r w:rsidR="001A65AB" w:rsidRPr="004E4270">
        <w:rPr>
          <w:rFonts w:cstheme="minorHAnsi"/>
          <w:lang w:val="nl-BE"/>
        </w:rPr>
        <w:t xml:space="preserve">geviseerd </w:t>
      </w:r>
      <w:r w:rsidRPr="004E4270">
        <w:rPr>
          <w:rFonts w:cstheme="minorHAnsi"/>
          <w:lang w:val="nl-BE"/>
        </w:rPr>
        <w:t xml:space="preserve">kunnen </w:t>
      </w:r>
      <w:r w:rsidRPr="0069784D">
        <w:rPr>
          <w:rFonts w:cstheme="minorHAnsi"/>
          <w:lang w:val="nl-BE"/>
        </w:rPr>
        <w:t>worden.</w:t>
      </w:r>
    </w:p>
    <w:p w14:paraId="3FF0ED4C" w14:textId="77777777" w:rsidR="009B112A" w:rsidRPr="0069784D" w:rsidRDefault="009B112A" w:rsidP="009C15CF">
      <w:pPr>
        <w:jc w:val="both"/>
        <w:rPr>
          <w:rFonts w:cstheme="minorHAnsi"/>
          <w:lang w:val="nl-BE"/>
        </w:rPr>
      </w:pPr>
      <w:r w:rsidRPr="0069784D">
        <w:rPr>
          <w:rFonts w:cstheme="minorHAnsi"/>
          <w:lang w:val="nl-BE"/>
        </w:rPr>
        <w:t>Zie ook de bespreking van de verzwarende omstandigheden bij de artikelen 417/18 en 417/19.</w:t>
      </w:r>
    </w:p>
    <w:p w14:paraId="18CC6463" w14:textId="77777777" w:rsidR="009B112A" w:rsidRPr="0069784D" w:rsidRDefault="009B112A" w:rsidP="009C15CF">
      <w:pPr>
        <w:jc w:val="both"/>
        <w:rPr>
          <w:rFonts w:cstheme="minorHAnsi"/>
          <w:lang w:val="nl-BE"/>
        </w:rPr>
      </w:pPr>
    </w:p>
    <w:p w14:paraId="7433F364" w14:textId="77777777" w:rsidR="009B112A" w:rsidRPr="0069784D" w:rsidRDefault="009B112A" w:rsidP="009C15CF">
      <w:pPr>
        <w:pStyle w:val="ListParagraph"/>
        <w:numPr>
          <w:ilvl w:val="0"/>
          <w:numId w:val="2"/>
        </w:numPr>
        <w:jc w:val="both"/>
        <w:rPr>
          <w:rFonts w:cstheme="minorHAnsi"/>
          <w:u w:val="single"/>
          <w:lang w:val="nl-BE"/>
        </w:rPr>
      </w:pPr>
      <w:r w:rsidRPr="0069784D">
        <w:rPr>
          <w:rFonts w:cstheme="minorHAnsi"/>
          <w:u w:val="single"/>
          <w:lang w:val="nl-BE"/>
        </w:rPr>
        <w:t>Erkende positie van vertrouwen, gezag of invloed</w:t>
      </w:r>
    </w:p>
    <w:p w14:paraId="080D43D5" w14:textId="76F12C30" w:rsidR="009B112A" w:rsidRPr="0069784D" w:rsidRDefault="009B112A" w:rsidP="009C15CF">
      <w:pPr>
        <w:jc w:val="both"/>
        <w:rPr>
          <w:rFonts w:cstheme="minorHAnsi"/>
          <w:lang w:val="nl-BE"/>
        </w:rPr>
      </w:pPr>
      <w:r w:rsidRPr="0069784D">
        <w:rPr>
          <w:rFonts w:cstheme="minorHAnsi"/>
          <w:lang w:val="nl-BE"/>
        </w:rPr>
        <w:t>Er kan verwezen worden naar de terminologie uit de EU-richtlijn 2011/93/E</w:t>
      </w:r>
      <w:r w:rsidR="003B7A69" w:rsidRPr="0069784D">
        <w:rPr>
          <w:rFonts w:cstheme="minorHAnsi"/>
          <w:lang w:val="nl-BE"/>
        </w:rPr>
        <w:t>U</w:t>
      </w:r>
      <w:r w:rsidR="0074412A" w:rsidRPr="0069784D">
        <w:rPr>
          <w:rStyle w:val="FootnoteReference"/>
          <w:rFonts w:cstheme="minorHAnsi"/>
          <w:lang w:val="nl-BE"/>
        </w:rPr>
        <w:footnoteReference w:customMarkFollows="1" w:id="25"/>
        <w:t>25</w:t>
      </w:r>
      <w:r w:rsidRPr="0069784D">
        <w:rPr>
          <w:rFonts w:cstheme="minorHAnsi"/>
          <w:lang w:val="nl-BE"/>
        </w:rPr>
        <w:t>.</w:t>
      </w:r>
    </w:p>
    <w:p w14:paraId="7FF009A2" w14:textId="30EACE17" w:rsidR="009B112A" w:rsidRPr="0069784D" w:rsidRDefault="009B112A" w:rsidP="009C15CF">
      <w:pPr>
        <w:jc w:val="both"/>
        <w:rPr>
          <w:rStyle w:val="Emphasis"/>
          <w:i w:val="0"/>
          <w:lang w:val="nl-BE"/>
        </w:rPr>
      </w:pPr>
      <w:r w:rsidRPr="0069784D">
        <w:rPr>
          <w:rFonts w:cstheme="minorHAnsi"/>
          <w:lang w:val="nl-BE"/>
        </w:rPr>
        <w:t xml:space="preserve">De wetgever verduidelijkt evenwel niet wat onder </w:t>
      </w:r>
      <w:r w:rsidRPr="0069784D">
        <w:rPr>
          <w:rFonts w:cstheme="minorHAnsi"/>
          <w:i/>
          <w:iCs/>
          <w:lang w:val="nl-BE"/>
        </w:rPr>
        <w:t>erkende</w:t>
      </w:r>
      <w:r w:rsidRPr="0069784D">
        <w:rPr>
          <w:rFonts w:cstheme="minorHAnsi"/>
          <w:lang w:val="nl-BE"/>
        </w:rPr>
        <w:t xml:space="preserve"> positie van vertrouwen, gezag of </w:t>
      </w:r>
      <w:r w:rsidR="00B725CB" w:rsidRPr="0069784D">
        <w:rPr>
          <w:rFonts w:cstheme="minorHAnsi"/>
          <w:lang w:val="nl-BE"/>
        </w:rPr>
        <w:t>invloed begrepen</w:t>
      </w:r>
      <w:r w:rsidR="003B7A69" w:rsidRPr="0069784D">
        <w:rPr>
          <w:rFonts w:cstheme="minorHAnsi"/>
          <w:lang w:val="nl-BE"/>
        </w:rPr>
        <w:t xml:space="preserve"> </w:t>
      </w:r>
      <w:r w:rsidRPr="0069784D">
        <w:rPr>
          <w:rFonts w:cstheme="minorHAnsi"/>
          <w:lang w:val="nl-BE"/>
        </w:rPr>
        <w:t>dient te worden. Hiervoor dient verwezen te worden naar de gebruikelijke betekenis van dit begrip op grond van de beoordeling ervan door een redelijk persoon.</w:t>
      </w:r>
      <w:r w:rsidRPr="0069784D">
        <w:rPr>
          <w:rStyle w:val="Emphasis"/>
          <w:i w:val="0"/>
          <w:lang w:val="nl-BE"/>
        </w:rPr>
        <w:t xml:space="preserve"> </w:t>
      </w:r>
    </w:p>
    <w:p w14:paraId="36AE8217" w14:textId="439E8AB7" w:rsidR="009B112A" w:rsidRPr="0069784D" w:rsidRDefault="009B112A" w:rsidP="009C15CF">
      <w:pPr>
        <w:jc w:val="both"/>
        <w:rPr>
          <w:rFonts w:cstheme="minorHAnsi"/>
          <w:lang w:val="nl-BE"/>
        </w:rPr>
      </w:pPr>
      <w:r w:rsidRPr="0069784D">
        <w:rPr>
          <w:rFonts w:cstheme="minorHAnsi"/>
          <w:lang w:val="nl-BE"/>
        </w:rPr>
        <w:t>De hiernavolgende voorbeelden (</w:t>
      </w:r>
      <w:r w:rsidRPr="0069784D">
        <w:rPr>
          <w:rFonts w:cstheme="minorHAnsi"/>
          <w:b/>
          <w:bCs/>
          <w:lang w:val="nl-BE"/>
        </w:rPr>
        <w:t>niet-limitatieve lijst</w:t>
      </w:r>
      <w:r w:rsidRPr="0069784D">
        <w:rPr>
          <w:rFonts w:cstheme="minorHAnsi"/>
          <w:lang w:val="nl-BE"/>
        </w:rPr>
        <w:t xml:space="preserve">) worden gegeven ter illustratie van een erkende positie van vertrouwen, gezag of invloed ten aanzien van een minderjarige: </w:t>
      </w:r>
      <w:r w:rsidRPr="0069784D">
        <w:rPr>
          <w:i/>
          <w:iCs/>
          <w:lang w:val="nl-BE"/>
        </w:rPr>
        <w:t>“… kan men bv. denken aan een lid van het personeel van een onderwijsinstelling, een bedienaar van een eredienst, een voorganger in plechtigheden van een niet-confessionele levensbeschouwing, een arts of een andere gezondheidswerker, een persoon die de opvang verzorgt in een medisch-pedagogisch instituut, een maatschappelijk werker of een verantwoordelijke in het kader van een activiteit voor jongeren.”</w:t>
      </w:r>
      <w:r w:rsidR="0074412A" w:rsidRPr="0069784D">
        <w:rPr>
          <w:rStyle w:val="FootnoteReference"/>
          <w:lang w:val="nl-BE"/>
        </w:rPr>
        <w:footnoteReference w:customMarkFollows="1" w:id="26"/>
        <w:t>26</w:t>
      </w:r>
      <w:r w:rsidRPr="0069784D">
        <w:rPr>
          <w:lang w:val="nl-BE"/>
        </w:rPr>
        <w:t>.</w:t>
      </w:r>
    </w:p>
    <w:p w14:paraId="5FC1781B" w14:textId="528F7A32" w:rsidR="009B112A" w:rsidRPr="0069784D" w:rsidRDefault="009B112A" w:rsidP="009C15CF">
      <w:pPr>
        <w:jc w:val="both"/>
        <w:rPr>
          <w:rFonts w:cstheme="minorHAnsi"/>
          <w:lang w:val="nl-BE"/>
        </w:rPr>
      </w:pPr>
      <w:r w:rsidRPr="0069784D">
        <w:rPr>
          <w:rFonts w:cstheme="minorHAnsi"/>
          <w:lang w:val="nl-BE"/>
        </w:rPr>
        <w:t xml:space="preserve">Er </w:t>
      </w:r>
      <w:r w:rsidR="001A65AB" w:rsidRPr="004E4270">
        <w:rPr>
          <w:rFonts w:cstheme="minorHAnsi"/>
          <w:lang w:val="nl-BE"/>
        </w:rPr>
        <w:t xml:space="preserve">dient te worden </w:t>
      </w:r>
      <w:r w:rsidR="00E143CF" w:rsidRPr="004E4270">
        <w:rPr>
          <w:rFonts w:cstheme="minorHAnsi"/>
          <w:lang w:val="nl-BE"/>
        </w:rPr>
        <w:t>aangestipt</w:t>
      </w:r>
      <w:r w:rsidRPr="004E4270">
        <w:rPr>
          <w:rFonts w:cstheme="minorHAnsi"/>
          <w:lang w:val="nl-BE"/>
        </w:rPr>
        <w:t xml:space="preserve"> dat de wetgever uitdrukkelijk </w:t>
      </w:r>
      <w:r w:rsidR="001A65AB" w:rsidRPr="004E4270">
        <w:rPr>
          <w:rFonts w:cstheme="minorHAnsi"/>
          <w:lang w:val="nl-BE"/>
        </w:rPr>
        <w:t xml:space="preserve">heeft </w:t>
      </w:r>
      <w:r w:rsidR="00E143CF" w:rsidRPr="004E4270">
        <w:rPr>
          <w:rFonts w:cstheme="minorHAnsi"/>
          <w:lang w:val="nl-BE"/>
        </w:rPr>
        <w:t>gepreciseerd</w:t>
      </w:r>
      <w:r w:rsidRPr="004E4270">
        <w:rPr>
          <w:rFonts w:cstheme="minorHAnsi"/>
          <w:lang w:val="nl-BE"/>
        </w:rPr>
        <w:t xml:space="preserve"> dat de handeling mogelijk </w:t>
      </w:r>
      <w:r w:rsidR="00E143CF" w:rsidRPr="004E4270">
        <w:rPr>
          <w:rFonts w:cstheme="minorHAnsi"/>
          <w:lang w:val="nl-BE"/>
        </w:rPr>
        <w:t>moet zijn gemaakt door</w:t>
      </w:r>
      <w:r w:rsidRPr="004E4270">
        <w:rPr>
          <w:rFonts w:cstheme="minorHAnsi"/>
          <w:lang w:val="nl-BE"/>
        </w:rPr>
        <w:t>dat de dader “</w:t>
      </w:r>
      <w:r w:rsidRPr="004E4270">
        <w:rPr>
          <w:rFonts w:cstheme="minorHAnsi"/>
          <w:i/>
          <w:iCs/>
          <w:lang w:val="nl-BE"/>
        </w:rPr>
        <w:t>gebruik gemaakt heeft”</w:t>
      </w:r>
      <w:r w:rsidRPr="004E4270">
        <w:rPr>
          <w:rFonts w:cstheme="minorHAnsi"/>
          <w:lang w:val="nl-BE"/>
        </w:rPr>
        <w:t xml:space="preserve"> van deze bijzondere positie, </w:t>
      </w:r>
      <w:r w:rsidR="00E143CF" w:rsidRPr="004E4270">
        <w:rPr>
          <w:rFonts w:cstheme="minorHAnsi"/>
          <w:lang w:val="nl-BE"/>
        </w:rPr>
        <w:t>hetgeen</w:t>
      </w:r>
      <w:r w:rsidR="00E143CF" w:rsidRPr="004E4270">
        <w:rPr>
          <w:rFonts w:cstheme="minorHAnsi"/>
          <w:b/>
          <w:bCs/>
          <w:lang w:val="nl-BE"/>
        </w:rPr>
        <w:t xml:space="preserve"> </w:t>
      </w:r>
      <w:r w:rsidR="00E143CF" w:rsidRPr="004E4270">
        <w:rPr>
          <w:rFonts w:cstheme="minorHAnsi"/>
          <w:lang w:val="nl-BE"/>
        </w:rPr>
        <w:t>enig</w:t>
      </w:r>
      <w:r w:rsidR="00E143CF" w:rsidRPr="004E4270">
        <w:rPr>
          <w:rFonts w:cstheme="minorHAnsi"/>
          <w:b/>
          <w:bCs/>
          <w:lang w:val="nl-BE"/>
        </w:rPr>
        <w:t xml:space="preserve"> </w:t>
      </w:r>
      <w:r w:rsidRPr="004E4270">
        <w:rPr>
          <w:rFonts w:cstheme="minorHAnsi"/>
          <w:b/>
          <w:bCs/>
          <w:lang w:val="nl-BE"/>
        </w:rPr>
        <w:t>misbruik van deze positie</w:t>
      </w:r>
      <w:r w:rsidRPr="004E4270">
        <w:rPr>
          <w:rFonts w:cstheme="minorHAnsi"/>
          <w:lang w:val="nl-BE"/>
        </w:rPr>
        <w:t xml:space="preserve"> </w:t>
      </w:r>
      <w:r w:rsidR="00E143CF" w:rsidRPr="004E4270">
        <w:rPr>
          <w:rFonts w:cstheme="minorHAnsi"/>
          <w:lang w:val="nl-BE"/>
        </w:rPr>
        <w:t xml:space="preserve">veronderstelt </w:t>
      </w:r>
      <w:r w:rsidRPr="004E4270">
        <w:rPr>
          <w:rFonts w:cstheme="minorHAnsi"/>
          <w:lang w:val="nl-BE"/>
        </w:rPr>
        <w:t xml:space="preserve">en niet louter het </w:t>
      </w:r>
      <w:r w:rsidRPr="0069784D">
        <w:rPr>
          <w:rFonts w:cstheme="minorHAnsi"/>
          <w:lang w:val="nl-BE"/>
        </w:rPr>
        <w:t>bestaan ervan</w:t>
      </w:r>
      <w:r w:rsidR="0074412A" w:rsidRPr="0069784D">
        <w:rPr>
          <w:rStyle w:val="FootnoteReference"/>
          <w:rFonts w:cstheme="minorHAnsi"/>
          <w:lang w:val="nl-BE"/>
        </w:rPr>
        <w:footnoteReference w:customMarkFollows="1" w:id="27"/>
        <w:t>27</w:t>
      </w:r>
      <w:r w:rsidRPr="0069784D">
        <w:rPr>
          <w:rFonts w:cstheme="minorHAnsi"/>
          <w:lang w:val="nl-BE"/>
        </w:rPr>
        <w:t>.</w:t>
      </w:r>
    </w:p>
    <w:p w14:paraId="1C299627" w14:textId="265BAC29" w:rsidR="009B112A" w:rsidRPr="0069784D" w:rsidRDefault="009B112A" w:rsidP="009C15CF">
      <w:pPr>
        <w:jc w:val="both"/>
        <w:rPr>
          <w:rFonts w:cstheme="minorHAnsi"/>
          <w:lang w:val="nl-BE"/>
        </w:rPr>
      </w:pPr>
      <w:r w:rsidRPr="0069784D">
        <w:rPr>
          <w:rFonts w:cstheme="minorHAnsi"/>
          <w:lang w:val="nl-BE"/>
        </w:rPr>
        <w:t>De positie van vertrouwen, gezag of invloed ten aanzien van een (minderjarig of meerderjarig) slachtoffer wordt ook besproken vanuit het oogpunt van de verzwarende omstandigheden (zie de analyse van artikel 417/21).</w:t>
      </w:r>
    </w:p>
    <w:p w14:paraId="25E876D7" w14:textId="77777777" w:rsidR="0074412A" w:rsidRPr="0069784D" w:rsidRDefault="0074412A" w:rsidP="009C15CF">
      <w:pPr>
        <w:jc w:val="both"/>
        <w:rPr>
          <w:rFonts w:cstheme="minorHAnsi"/>
          <w:lang w:val="nl-BE"/>
        </w:rPr>
      </w:pPr>
    </w:p>
    <w:p w14:paraId="027210B1" w14:textId="77777777" w:rsidR="009B112A" w:rsidRPr="0069784D" w:rsidRDefault="009B112A" w:rsidP="009C15CF">
      <w:pPr>
        <w:pStyle w:val="ListParagraph"/>
        <w:numPr>
          <w:ilvl w:val="0"/>
          <w:numId w:val="2"/>
        </w:numPr>
        <w:jc w:val="both"/>
        <w:rPr>
          <w:rFonts w:cstheme="minorHAnsi"/>
          <w:u w:val="single"/>
          <w:lang w:val="fr-FR"/>
        </w:rPr>
      </w:pPr>
      <w:r w:rsidRPr="0069784D">
        <w:rPr>
          <w:rFonts w:cstheme="minorHAnsi"/>
          <w:u w:val="single"/>
          <w:lang w:val="fr-FR"/>
        </w:rPr>
        <w:t>Ontucht of prostitutie</w:t>
      </w:r>
    </w:p>
    <w:p w14:paraId="6CF70474" w14:textId="3400D42C" w:rsidR="009B112A" w:rsidRPr="004E4270" w:rsidRDefault="00E143CF" w:rsidP="009C15CF">
      <w:pPr>
        <w:jc w:val="both"/>
        <w:rPr>
          <w:rFonts w:cstheme="minorHAnsi"/>
          <w:lang w:val="nl-BE"/>
        </w:rPr>
      </w:pPr>
      <w:r w:rsidRPr="004E4270">
        <w:rPr>
          <w:rFonts w:cstheme="minorHAnsi"/>
          <w:lang w:val="nl-BE"/>
        </w:rPr>
        <w:t>Met</w:t>
      </w:r>
      <w:r w:rsidR="009B112A" w:rsidRPr="004E4270">
        <w:rPr>
          <w:rFonts w:cstheme="minorHAnsi"/>
          <w:lang w:val="nl-BE"/>
        </w:rPr>
        <w:t xml:space="preserve"> deze </w:t>
      </w:r>
      <w:r w:rsidR="009B112A" w:rsidRPr="0069784D">
        <w:rPr>
          <w:rFonts w:cstheme="minorHAnsi"/>
          <w:lang w:val="nl-BE"/>
        </w:rPr>
        <w:t>toevoeging</w:t>
      </w:r>
      <w:r w:rsidR="004E4270" w:rsidRPr="004E4270">
        <w:rPr>
          <w:rFonts w:cstheme="minorHAnsi"/>
          <w:lang w:val="nl-BE"/>
        </w:rPr>
        <w:t>,</w:t>
      </w:r>
      <w:r w:rsidR="004E4270">
        <w:rPr>
          <w:rFonts w:cstheme="minorHAnsi"/>
          <w:color w:val="FF0000"/>
          <w:lang w:val="nl-BE"/>
        </w:rPr>
        <w:t xml:space="preserve"> </w:t>
      </w:r>
      <w:r w:rsidR="009B112A" w:rsidRPr="0069784D">
        <w:rPr>
          <w:rFonts w:cstheme="minorHAnsi"/>
          <w:lang w:val="nl-BE"/>
        </w:rPr>
        <w:t xml:space="preserve">streeft de wetgever ernaar minderjarigen beter te beschermen door iedere vorm van discussie over hun toestemming bij ontucht of </w:t>
      </w:r>
      <w:r w:rsidR="009B112A" w:rsidRPr="004E4270">
        <w:rPr>
          <w:rFonts w:cstheme="minorHAnsi"/>
          <w:lang w:val="nl-BE"/>
        </w:rPr>
        <w:t xml:space="preserve">prostitutie </w:t>
      </w:r>
      <w:r w:rsidRPr="004E4270">
        <w:rPr>
          <w:rFonts w:cstheme="minorHAnsi"/>
          <w:lang w:val="nl-BE"/>
        </w:rPr>
        <w:t xml:space="preserve">te vermijden </w:t>
      </w:r>
      <w:r w:rsidR="009B112A" w:rsidRPr="004E4270">
        <w:rPr>
          <w:rFonts w:cstheme="minorHAnsi"/>
          <w:lang w:val="nl-BE"/>
        </w:rPr>
        <w:t>wanneer de zaak voor de rechtbank aanhangig gemaakt wordt, en door bepaalde grenzen aan hun seksueel zelfbeschikkingsrecht in te voeren</w:t>
      </w:r>
      <w:r w:rsidRPr="004E4270">
        <w:rPr>
          <w:rFonts w:cstheme="minorHAnsi"/>
          <w:lang w:val="nl-BE"/>
        </w:rPr>
        <w:t>.</w:t>
      </w:r>
      <w:r w:rsidR="0074412A" w:rsidRPr="004E4270">
        <w:rPr>
          <w:rStyle w:val="FootnoteReference"/>
          <w:rFonts w:cstheme="minorHAnsi"/>
          <w:lang w:val="nl-BE"/>
        </w:rPr>
        <w:footnoteReference w:customMarkFollows="1" w:id="28"/>
        <w:t>28</w:t>
      </w:r>
    </w:p>
    <w:p w14:paraId="5B72D226" w14:textId="6D671CC6" w:rsidR="009B112A" w:rsidRPr="0069784D" w:rsidRDefault="009B112A" w:rsidP="009C15CF">
      <w:pPr>
        <w:jc w:val="both"/>
        <w:rPr>
          <w:rFonts w:cstheme="minorHAnsi"/>
          <w:lang w:val="nl-BE"/>
        </w:rPr>
      </w:pPr>
      <w:r w:rsidRPr="0069784D">
        <w:rPr>
          <w:rFonts w:cstheme="minorHAnsi"/>
          <w:lang w:val="nl-BE"/>
        </w:rPr>
        <w:t>Gevolg hiervan is dat twijfel gezaaid zou kunnen worden over de draagwijdte van het artikel over de toestemming</w:t>
      </w:r>
      <w:r w:rsidRPr="004E4270">
        <w:rPr>
          <w:rFonts w:cstheme="minorHAnsi"/>
          <w:lang w:val="nl-BE"/>
        </w:rPr>
        <w:t xml:space="preserve">. </w:t>
      </w:r>
      <w:r w:rsidR="00E143CF" w:rsidRPr="004E4270">
        <w:rPr>
          <w:rFonts w:cstheme="minorHAnsi"/>
          <w:lang w:val="nl-BE"/>
        </w:rPr>
        <w:t xml:space="preserve">Zo zou er </w:t>
      </w:r>
      <w:r w:rsidRPr="004E4270">
        <w:rPr>
          <w:rFonts w:cstheme="minorHAnsi"/>
          <w:lang w:val="nl-BE"/>
        </w:rPr>
        <w:t xml:space="preserve">namelijk van uitgegaan kunnen worden dat voor de misdrijven uit de andere afdelingen waarvoor de mogelijkheid tot toestemming niet uitgesloten werd (vb. beelden van seksueel misbruik), de toestemming van de minderjarige </w:t>
      </w:r>
      <w:r w:rsidR="00E143CF" w:rsidRPr="004E4270">
        <w:rPr>
          <w:rFonts w:cstheme="minorHAnsi"/>
          <w:lang w:val="nl-BE"/>
        </w:rPr>
        <w:t>alsnog het voorwerp van de debatten zou kunnen uitmaken</w:t>
      </w:r>
      <w:r w:rsidRPr="004E4270">
        <w:rPr>
          <w:rFonts w:cstheme="minorHAnsi"/>
          <w:lang w:val="nl-BE"/>
        </w:rPr>
        <w:t xml:space="preserve">, terwijl dit vanzelfsprekend </w:t>
      </w:r>
      <w:r w:rsidRPr="0069784D">
        <w:rPr>
          <w:rFonts w:cstheme="minorHAnsi"/>
          <w:lang w:val="nl-BE"/>
        </w:rPr>
        <w:t xml:space="preserve">geenszins de intentie van de wetgever is. </w:t>
      </w:r>
    </w:p>
    <w:p w14:paraId="5EF4DDE2" w14:textId="77777777" w:rsidR="009B112A" w:rsidRPr="0069784D" w:rsidRDefault="009B112A" w:rsidP="009C15CF">
      <w:pPr>
        <w:jc w:val="both"/>
        <w:rPr>
          <w:rFonts w:cstheme="minorHAnsi"/>
          <w:lang w:val="nl-BE"/>
        </w:rPr>
      </w:pPr>
    </w:p>
    <w:p w14:paraId="72F11E62" w14:textId="44B69DBA" w:rsidR="009B112A" w:rsidRPr="0069784D" w:rsidRDefault="009B112A" w:rsidP="009C15CF">
      <w:pPr>
        <w:jc w:val="both"/>
        <w:rPr>
          <w:sz w:val="32"/>
          <w:szCs w:val="32"/>
          <w:lang w:val="nl-BE"/>
        </w:rPr>
      </w:pPr>
      <w:r w:rsidRPr="0069784D">
        <w:rPr>
          <w:color w:val="000000"/>
          <w:sz w:val="32"/>
          <w:szCs w:val="32"/>
          <w:lang w:val="nl-BE"/>
        </w:rPr>
        <w:lastRenderedPageBreak/>
        <w:t xml:space="preserve">Onderafdeling 2: </w:t>
      </w:r>
      <w:r w:rsidR="00552C66" w:rsidRPr="0069784D">
        <w:rPr>
          <w:color w:val="000000"/>
          <w:sz w:val="32"/>
          <w:szCs w:val="32"/>
          <w:lang w:val="nl-BE"/>
        </w:rPr>
        <w:t>B</w:t>
      </w:r>
      <w:r w:rsidRPr="0069784D">
        <w:rPr>
          <w:color w:val="000000"/>
          <w:sz w:val="32"/>
          <w:szCs w:val="32"/>
          <w:lang w:val="nl-BE"/>
        </w:rPr>
        <w:t>asismisdrijven</w:t>
      </w:r>
    </w:p>
    <w:p w14:paraId="78E2BCA3" w14:textId="77777777" w:rsidR="00044D70" w:rsidRPr="0069784D" w:rsidRDefault="00044D70" w:rsidP="009C15CF">
      <w:pPr>
        <w:jc w:val="both"/>
        <w:rPr>
          <w:rFonts w:cstheme="minorHAnsi"/>
          <w:lang w:val="nl-BE"/>
        </w:rPr>
      </w:pPr>
    </w:p>
    <w:p w14:paraId="27279C66" w14:textId="2C15B86F" w:rsidR="009B112A" w:rsidRPr="0069784D" w:rsidRDefault="009B112A" w:rsidP="009C15CF">
      <w:pPr>
        <w:jc w:val="both"/>
        <w:rPr>
          <w:rFonts w:cstheme="minorHAnsi"/>
          <w:lang w:val="nl-BE"/>
        </w:rPr>
      </w:pPr>
      <w:r w:rsidRPr="0069784D">
        <w:rPr>
          <w:rFonts w:cstheme="minorHAnsi"/>
          <w:lang w:val="nl-BE"/>
        </w:rPr>
        <w:t xml:space="preserve">De wetgever herinnert eraan dat </w:t>
      </w:r>
      <w:r w:rsidRPr="004E4270">
        <w:rPr>
          <w:rFonts w:cstheme="minorHAnsi"/>
          <w:lang w:val="nl-BE"/>
        </w:rPr>
        <w:t>hier</w:t>
      </w:r>
      <w:r w:rsidR="00DC11C3" w:rsidRPr="004E4270">
        <w:rPr>
          <w:rFonts w:cstheme="minorHAnsi"/>
          <w:lang w:val="nl-BE"/>
        </w:rPr>
        <w:t>mee</w:t>
      </w:r>
      <w:r w:rsidRPr="004E4270">
        <w:rPr>
          <w:rFonts w:cstheme="minorHAnsi"/>
          <w:lang w:val="nl-BE"/>
        </w:rPr>
        <w:t xml:space="preserve"> de </w:t>
      </w:r>
      <w:r w:rsidRPr="0069784D">
        <w:rPr>
          <w:rFonts w:cstheme="minorHAnsi"/>
          <w:lang w:val="nl-BE"/>
        </w:rPr>
        <w:t>seksuele handelingen bedoeld worden waarvoor geen toestemming gegeven werd.</w:t>
      </w:r>
    </w:p>
    <w:p w14:paraId="35A7C634" w14:textId="13E690F9" w:rsidR="009B112A" w:rsidRPr="0069784D" w:rsidRDefault="009B112A" w:rsidP="009C15CF">
      <w:pPr>
        <w:jc w:val="both"/>
        <w:rPr>
          <w:rFonts w:cstheme="minorHAnsi"/>
          <w:lang w:val="nl-BE"/>
        </w:rPr>
      </w:pPr>
      <w:r w:rsidRPr="0069784D">
        <w:rPr>
          <w:rFonts w:cstheme="minorHAnsi"/>
          <w:lang w:val="nl-BE"/>
        </w:rPr>
        <w:t xml:space="preserve">Aangezien het </w:t>
      </w:r>
      <w:r w:rsidRPr="0069784D">
        <w:rPr>
          <w:lang w:val="nl-BE"/>
        </w:rPr>
        <w:t xml:space="preserve">moet gaan om </w:t>
      </w:r>
      <w:r w:rsidRPr="0069784D">
        <w:rPr>
          <w:b/>
          <w:bCs/>
          <w:lang w:val="nl-BE"/>
        </w:rPr>
        <w:t xml:space="preserve">een handeling die een redelijk persoon als seksueel kan bestempelen en dus als een aantasting van zijn seksuele integriteit kan </w:t>
      </w:r>
      <w:r w:rsidRPr="0069784D">
        <w:rPr>
          <w:lang w:val="nl-BE"/>
        </w:rPr>
        <w:t>ervaren</w:t>
      </w:r>
      <w:r w:rsidR="003B7A69" w:rsidRPr="0069784D">
        <w:rPr>
          <w:lang w:val="nl-BE"/>
        </w:rPr>
        <w:t>, is het niet langer het collectief bewustzijn maar wel de seksuele autonomie die hierbij van tel is</w:t>
      </w:r>
      <w:r w:rsidR="0074412A" w:rsidRPr="0069784D">
        <w:rPr>
          <w:rStyle w:val="FootnoteReference"/>
          <w:rFonts w:cstheme="minorHAnsi"/>
          <w:lang w:val="nl-BE"/>
        </w:rPr>
        <w:footnoteReference w:customMarkFollows="1" w:id="29"/>
        <w:t>29</w:t>
      </w:r>
      <w:r w:rsidRPr="0069784D">
        <w:rPr>
          <w:rFonts w:cstheme="minorHAnsi"/>
          <w:lang w:val="nl-BE"/>
        </w:rPr>
        <w:t>.</w:t>
      </w:r>
    </w:p>
    <w:p w14:paraId="006B87DF" w14:textId="2BD788CB" w:rsidR="009B112A" w:rsidRPr="004E4270" w:rsidRDefault="009B112A" w:rsidP="009C15CF">
      <w:pPr>
        <w:jc w:val="both"/>
        <w:rPr>
          <w:rFonts w:cstheme="minorHAnsi"/>
          <w:lang w:val="nl-BE"/>
        </w:rPr>
      </w:pPr>
      <w:r w:rsidRPr="0069784D">
        <w:rPr>
          <w:lang w:val="nl-BE"/>
        </w:rPr>
        <w:t>Een bijzondere fetisj of parafilie die een persoon een seksuele bevrediging bezorgt</w:t>
      </w:r>
      <w:r w:rsidR="003B7A69" w:rsidRPr="0069784D">
        <w:rPr>
          <w:lang w:val="nl-BE"/>
        </w:rPr>
        <w:t>,</w:t>
      </w:r>
      <w:r w:rsidRPr="0069784D">
        <w:rPr>
          <w:lang w:val="nl-BE"/>
        </w:rPr>
        <w:t xml:space="preserve"> kan, maar hoeft dus niet noodzakelijk een seksueel karakter te </w:t>
      </w:r>
      <w:r w:rsidRPr="004E4270">
        <w:rPr>
          <w:lang w:val="nl-BE"/>
        </w:rPr>
        <w:t>hebben</w:t>
      </w:r>
      <w:r w:rsidR="00DC11C3" w:rsidRPr="004E4270">
        <w:rPr>
          <w:lang w:val="nl-BE"/>
        </w:rPr>
        <w:t>. A</w:t>
      </w:r>
      <w:r w:rsidRPr="004E4270">
        <w:rPr>
          <w:lang w:val="nl-BE"/>
        </w:rPr>
        <w:t xml:space="preserve">ls voorbeeld van een niet-seksuele handeling wordt telefoonscatologie </w:t>
      </w:r>
      <w:r w:rsidR="00DC11C3" w:rsidRPr="004E4270">
        <w:rPr>
          <w:lang w:val="nl-BE"/>
        </w:rPr>
        <w:t>(het uiten van obsceniteiten via de telefoon) vermeld</w:t>
      </w:r>
      <w:r w:rsidRPr="004E4270">
        <w:rPr>
          <w:lang w:val="nl-BE"/>
        </w:rPr>
        <w:t>.</w:t>
      </w:r>
    </w:p>
    <w:p w14:paraId="3848145C" w14:textId="68486AD1" w:rsidR="009B112A" w:rsidRPr="004E4270" w:rsidRDefault="009B112A" w:rsidP="009C15CF">
      <w:pPr>
        <w:jc w:val="both"/>
        <w:rPr>
          <w:rFonts w:cstheme="minorHAnsi"/>
          <w:lang w:val="nl-BE"/>
        </w:rPr>
      </w:pPr>
      <w:r w:rsidRPr="0069784D">
        <w:rPr>
          <w:rFonts w:cstheme="minorHAnsi"/>
          <w:lang w:val="nl-BE"/>
        </w:rPr>
        <w:t>In de memorie van toelichting wordt verder het volgende vermeld: “</w:t>
      </w:r>
      <w:r w:rsidRPr="0069784D">
        <w:rPr>
          <w:i/>
          <w:iCs/>
          <w:lang w:val="nl-BE"/>
        </w:rPr>
        <w:t xml:space="preserve">Meer algemeen dient te worden benadrukt dat deze afdeling niet het verbaal seksueel geweld omvat. </w:t>
      </w:r>
      <w:r w:rsidRPr="004E4270">
        <w:rPr>
          <w:i/>
          <w:iCs/>
          <w:lang w:val="nl-BE"/>
        </w:rPr>
        <w:t>Deze hypothese</w:t>
      </w:r>
      <w:r w:rsidR="00DC11C3" w:rsidRPr="004E4270">
        <w:rPr>
          <w:i/>
          <w:iCs/>
          <w:lang w:val="nl-BE"/>
        </w:rPr>
        <w:t>s kunnen</w:t>
      </w:r>
      <w:r w:rsidRPr="004E4270">
        <w:rPr>
          <w:i/>
          <w:iCs/>
          <w:lang w:val="nl-BE"/>
        </w:rPr>
        <w:t xml:space="preserve"> ressorteren onder de bepalingen m.b.t. belaging en/of seksisme.”</w:t>
      </w:r>
      <w:r w:rsidR="0074412A" w:rsidRPr="004E4270">
        <w:rPr>
          <w:rStyle w:val="FootnoteReference"/>
          <w:rFonts w:cstheme="minorHAnsi"/>
          <w:lang w:val="nl-BE"/>
        </w:rPr>
        <w:footnoteReference w:customMarkFollows="1" w:id="30"/>
        <w:t>30</w:t>
      </w:r>
      <w:r w:rsidRPr="004E4270">
        <w:rPr>
          <w:rFonts w:cstheme="minorHAnsi"/>
          <w:lang w:val="nl-BE"/>
        </w:rPr>
        <w:t>.</w:t>
      </w:r>
    </w:p>
    <w:p w14:paraId="4041D68E" w14:textId="530EDAFC" w:rsidR="009B112A" w:rsidRPr="0069784D" w:rsidRDefault="009B112A" w:rsidP="009C15CF">
      <w:pPr>
        <w:jc w:val="both"/>
        <w:rPr>
          <w:rFonts w:cstheme="minorHAnsi"/>
          <w:lang w:val="nl-BE"/>
        </w:rPr>
      </w:pPr>
      <w:r w:rsidRPr="0069784D">
        <w:rPr>
          <w:rFonts w:cstheme="minorHAnsi"/>
          <w:lang w:val="nl-BE"/>
        </w:rPr>
        <w:t xml:space="preserve">De </w:t>
      </w:r>
      <w:r w:rsidRPr="004E4270">
        <w:rPr>
          <w:rFonts w:cstheme="minorHAnsi"/>
          <w:lang w:val="nl-BE"/>
        </w:rPr>
        <w:t xml:space="preserve">wetgever </w:t>
      </w:r>
      <w:r w:rsidR="004A383D" w:rsidRPr="004E4270">
        <w:rPr>
          <w:rFonts w:cstheme="minorHAnsi"/>
          <w:lang w:val="nl-BE"/>
        </w:rPr>
        <w:t>besteedt</w:t>
      </w:r>
      <w:r w:rsidRPr="004E4270">
        <w:rPr>
          <w:rFonts w:cstheme="minorHAnsi"/>
          <w:lang w:val="nl-BE"/>
        </w:rPr>
        <w:t xml:space="preserve"> </w:t>
      </w:r>
      <w:r w:rsidR="004A383D" w:rsidRPr="004E4270">
        <w:rPr>
          <w:rFonts w:cstheme="minorHAnsi"/>
          <w:lang w:val="nl-BE"/>
        </w:rPr>
        <w:t>ook aandacht aan</w:t>
      </w:r>
      <w:r w:rsidRPr="004E4270">
        <w:rPr>
          <w:rFonts w:cstheme="minorHAnsi"/>
          <w:lang w:val="nl-BE"/>
        </w:rPr>
        <w:t xml:space="preserve"> een aantal evoluties in de rechtspraak en/of beslecht </w:t>
      </w:r>
      <w:r w:rsidR="004A383D" w:rsidRPr="004E4270">
        <w:rPr>
          <w:rFonts w:cstheme="minorHAnsi"/>
          <w:lang w:val="nl-BE"/>
        </w:rPr>
        <w:t xml:space="preserve">in dat verband </w:t>
      </w:r>
      <w:r w:rsidRPr="004E4270">
        <w:rPr>
          <w:rFonts w:cstheme="minorHAnsi"/>
          <w:lang w:val="nl-BE"/>
        </w:rPr>
        <w:t xml:space="preserve">een aantal </w:t>
      </w:r>
      <w:r w:rsidR="0069255C" w:rsidRPr="004E4270">
        <w:rPr>
          <w:rFonts w:cstheme="minorHAnsi"/>
          <w:lang w:val="nl-BE"/>
        </w:rPr>
        <w:t>c</w:t>
      </w:r>
      <w:r w:rsidR="003B7A69" w:rsidRPr="004E4270">
        <w:rPr>
          <w:rFonts w:cstheme="minorHAnsi"/>
          <w:lang w:val="nl-BE"/>
        </w:rPr>
        <w:t>ontrover</w:t>
      </w:r>
      <w:r w:rsidR="003B7A69" w:rsidRPr="0069784D">
        <w:rPr>
          <w:rFonts w:cstheme="minorHAnsi"/>
          <w:lang w:val="nl-BE"/>
        </w:rPr>
        <w:t>ses</w:t>
      </w:r>
      <w:r w:rsidR="00552C66" w:rsidRPr="0069784D">
        <w:rPr>
          <w:rFonts w:cstheme="minorHAnsi"/>
          <w:lang w:val="nl-BE"/>
        </w:rPr>
        <w:t xml:space="preserve"> </w:t>
      </w:r>
      <w:r w:rsidRPr="0069784D">
        <w:rPr>
          <w:rFonts w:cstheme="minorHAnsi"/>
          <w:lang w:val="nl-BE"/>
        </w:rPr>
        <w:t xml:space="preserve">(zie meer in het bijzonder de beschouwingen over </w:t>
      </w:r>
      <w:r w:rsidR="0069255C" w:rsidRPr="0069784D">
        <w:rPr>
          <w:rFonts w:cstheme="minorHAnsi"/>
          <w:lang w:val="nl-BE"/>
        </w:rPr>
        <w:t xml:space="preserve">de </w:t>
      </w:r>
      <w:r w:rsidRPr="0069784D">
        <w:rPr>
          <w:rFonts w:cstheme="minorHAnsi"/>
          <w:lang w:val="nl-BE"/>
        </w:rPr>
        <w:t xml:space="preserve">fenomenen </w:t>
      </w:r>
      <w:r w:rsidRPr="0069784D">
        <w:rPr>
          <w:rFonts w:cstheme="minorHAnsi"/>
          <w:i/>
          <w:iCs/>
          <w:lang w:val="nl-BE"/>
        </w:rPr>
        <w:t>stealthing</w:t>
      </w:r>
      <w:r w:rsidRPr="0069784D">
        <w:rPr>
          <w:rFonts w:cstheme="minorHAnsi"/>
          <w:lang w:val="nl-BE"/>
        </w:rPr>
        <w:t xml:space="preserve"> en </w:t>
      </w:r>
      <w:r w:rsidRPr="0069784D">
        <w:rPr>
          <w:rFonts w:cstheme="minorHAnsi"/>
          <w:i/>
          <w:iCs/>
          <w:lang w:val="nl-BE"/>
        </w:rPr>
        <w:t>creepshots</w:t>
      </w:r>
      <w:r w:rsidRPr="0069784D">
        <w:rPr>
          <w:rFonts w:cstheme="minorHAnsi"/>
          <w:lang w:val="nl-BE"/>
        </w:rPr>
        <w:t>, ..).</w:t>
      </w:r>
    </w:p>
    <w:p w14:paraId="38D0CF51" w14:textId="77777777" w:rsidR="009B112A" w:rsidRPr="0069784D" w:rsidRDefault="009B112A" w:rsidP="009C15CF">
      <w:pPr>
        <w:jc w:val="both"/>
        <w:rPr>
          <w:rFonts w:cstheme="minorHAnsi"/>
          <w:lang w:val="nl-BE"/>
        </w:rPr>
      </w:pPr>
    </w:p>
    <w:p w14:paraId="3DAE2613" w14:textId="77777777" w:rsidR="009B112A" w:rsidRPr="0069784D" w:rsidRDefault="009B112A" w:rsidP="009C15CF">
      <w:pPr>
        <w:jc w:val="both"/>
        <w:rPr>
          <w:bCs/>
          <w:color w:val="000000"/>
          <w:sz w:val="32"/>
          <w:szCs w:val="32"/>
          <w:lang w:val="nl-BE"/>
        </w:rPr>
      </w:pPr>
      <w:r w:rsidRPr="0069784D">
        <w:rPr>
          <w:bCs/>
          <w:color w:val="000000"/>
          <w:sz w:val="32"/>
          <w:szCs w:val="32"/>
          <w:lang w:val="nl-BE"/>
        </w:rPr>
        <w:t>Artikel 417/7 – Aantasting van de seksuele integriteit</w:t>
      </w:r>
    </w:p>
    <w:p w14:paraId="5CF783F6" w14:textId="77777777" w:rsidR="009B112A" w:rsidRPr="0069784D" w:rsidRDefault="009B112A" w:rsidP="009C15CF">
      <w:pPr>
        <w:jc w:val="both"/>
        <w:rPr>
          <w:b/>
          <w:color w:val="000000"/>
          <w:lang w:val="nl-BE"/>
        </w:rPr>
      </w:pPr>
    </w:p>
    <w:p w14:paraId="57CAB15A" w14:textId="68E42E12"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 xml:space="preserve">Aantasting van de seksuele integriteit is het stellen van een seksuele handeling op een persoon die daar niet in toestemt, al dan niet met behulp van een derde persoon die daar niet in toestemt, dan wel het laten stellen van een seksuele handeling door een persoon die daar niet in toestemt. </w:t>
      </w:r>
    </w:p>
    <w:p w14:paraId="1602A808"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 xml:space="preserve">Dit misdrijf wordt bestraft met </w:t>
      </w:r>
      <w:r w:rsidRPr="0069784D">
        <w:rPr>
          <w:b/>
          <w:bCs/>
          <w:color w:val="000000"/>
          <w:lang w:val="nl-BE"/>
        </w:rPr>
        <w:t>gevangenisstraf van zes maanden tot vijf jaar</w:t>
      </w:r>
      <w:r w:rsidRPr="0069784D">
        <w:rPr>
          <w:color w:val="000000"/>
          <w:lang w:val="nl-BE"/>
        </w:rPr>
        <w:t>.</w:t>
      </w:r>
    </w:p>
    <w:p w14:paraId="7EF508AE"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Wordt met aantasting van de seksuele integriteit gelijkgesteld het bewerkstelligen dat een persoon die daarmee niet instemt, getuige is van seksuele handelingen, of van seksueel misbruik, ook zonder dat deze daaraan hoeft deel te nemen.</w:t>
      </w:r>
    </w:p>
    <w:p w14:paraId="195AE9E2"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rFonts w:cstheme="minorHAnsi"/>
          <w:lang w:val="nl-BE"/>
        </w:rPr>
      </w:pPr>
      <w:r w:rsidRPr="0069784D">
        <w:rPr>
          <w:color w:val="000000"/>
          <w:lang w:val="nl-BE"/>
        </w:rPr>
        <w:t>Aantasting bestaat zodra er een begin van uitvoering is.</w:t>
      </w:r>
    </w:p>
    <w:p w14:paraId="4FCB4184" w14:textId="77777777" w:rsidR="009B112A" w:rsidRPr="0069784D" w:rsidRDefault="009B112A" w:rsidP="009C15CF">
      <w:pPr>
        <w:jc w:val="both"/>
        <w:rPr>
          <w:rFonts w:cstheme="minorHAnsi"/>
          <w:lang w:val="nl-BE"/>
        </w:rPr>
      </w:pPr>
    </w:p>
    <w:p w14:paraId="439D4A8E" w14:textId="3042B493" w:rsidR="009B112A" w:rsidRPr="0069784D" w:rsidRDefault="009B112A" w:rsidP="009C15CF">
      <w:pPr>
        <w:jc w:val="both"/>
        <w:rPr>
          <w:rFonts w:cstheme="minorHAnsi"/>
          <w:lang w:val="nl-BE"/>
        </w:rPr>
      </w:pPr>
      <w:r w:rsidRPr="0069784D">
        <w:rPr>
          <w:rFonts w:cstheme="minorHAnsi"/>
          <w:lang w:val="nl-BE"/>
        </w:rPr>
        <w:t>Het begrip ‘aantasting van de seksuele integriteit’ vervangt het vroegere begrip ‘aan</w:t>
      </w:r>
      <w:r w:rsidR="0069255C" w:rsidRPr="0069784D">
        <w:rPr>
          <w:rFonts w:cstheme="minorHAnsi"/>
          <w:lang w:val="nl-BE"/>
        </w:rPr>
        <w:t>randing</w:t>
      </w:r>
      <w:r w:rsidRPr="0069784D">
        <w:rPr>
          <w:rFonts w:cstheme="minorHAnsi"/>
          <w:lang w:val="nl-BE"/>
        </w:rPr>
        <w:t xml:space="preserve"> van de eerbaarheid’. Dit begrip wordt ook gedefinieerd. </w:t>
      </w:r>
    </w:p>
    <w:p w14:paraId="04420F1E" w14:textId="39341CAB" w:rsidR="009B112A" w:rsidRPr="0069784D" w:rsidRDefault="009B112A" w:rsidP="009C15CF">
      <w:pPr>
        <w:jc w:val="both"/>
        <w:rPr>
          <w:rFonts w:cstheme="minorHAnsi"/>
          <w:lang w:val="nl-BE"/>
        </w:rPr>
      </w:pPr>
      <w:r w:rsidRPr="0069784D">
        <w:rPr>
          <w:rFonts w:cstheme="minorHAnsi"/>
          <w:lang w:val="nl-BE"/>
        </w:rPr>
        <w:lastRenderedPageBreak/>
        <w:t xml:space="preserve">Bedoeling is </w:t>
      </w:r>
      <w:r w:rsidR="00405FDB" w:rsidRPr="004E4270">
        <w:rPr>
          <w:rFonts w:cstheme="minorHAnsi"/>
          <w:lang w:val="nl-BE"/>
        </w:rPr>
        <w:t xml:space="preserve">opnieuw </w:t>
      </w:r>
      <w:r w:rsidR="004A383D" w:rsidRPr="004E4270">
        <w:rPr>
          <w:rFonts w:cstheme="minorHAnsi"/>
          <w:lang w:val="nl-BE"/>
        </w:rPr>
        <w:t xml:space="preserve">te benadrukken </w:t>
      </w:r>
      <w:r w:rsidRPr="004E4270">
        <w:rPr>
          <w:rFonts w:cstheme="minorHAnsi"/>
          <w:lang w:val="nl-BE"/>
        </w:rPr>
        <w:t xml:space="preserve">dat het </w:t>
      </w:r>
      <w:r w:rsidRPr="0069784D">
        <w:rPr>
          <w:rFonts w:cstheme="minorHAnsi"/>
          <w:lang w:val="nl-BE"/>
        </w:rPr>
        <w:t xml:space="preserve">niet de eer van een persoon noch van diens familie is die beschermd moet worden, maar wel zijn </w:t>
      </w:r>
      <w:r w:rsidR="003B7A69" w:rsidRPr="0069784D">
        <w:rPr>
          <w:rFonts w:cstheme="minorHAnsi"/>
          <w:lang w:val="nl-BE"/>
        </w:rPr>
        <w:t>‘s</w:t>
      </w:r>
      <w:r w:rsidRPr="0069784D">
        <w:rPr>
          <w:rFonts w:cstheme="minorHAnsi"/>
          <w:lang w:val="nl-BE"/>
        </w:rPr>
        <w:t>eksueel zelfbeschikkingsrecht</w:t>
      </w:r>
      <w:r w:rsidR="003B7A69" w:rsidRPr="0069784D">
        <w:rPr>
          <w:rFonts w:cstheme="minorHAnsi"/>
          <w:lang w:val="nl-BE"/>
        </w:rPr>
        <w:t>’</w:t>
      </w:r>
      <w:r w:rsidRPr="0069784D">
        <w:rPr>
          <w:rFonts w:cstheme="minorHAnsi"/>
          <w:lang w:val="nl-BE"/>
        </w:rPr>
        <w:t xml:space="preserve"> en zijn recht op seksuele integriteit. </w:t>
      </w:r>
    </w:p>
    <w:p w14:paraId="754AAA17" w14:textId="37053DE5" w:rsidR="009B112A" w:rsidRPr="0069784D" w:rsidRDefault="009B112A" w:rsidP="009C15CF">
      <w:pPr>
        <w:jc w:val="both"/>
        <w:rPr>
          <w:rFonts w:cstheme="minorHAnsi"/>
          <w:lang w:val="nl-BE"/>
        </w:rPr>
      </w:pPr>
      <w:r w:rsidRPr="0069784D">
        <w:rPr>
          <w:rFonts w:cstheme="minorHAnsi"/>
          <w:lang w:val="nl-BE"/>
        </w:rPr>
        <w:t xml:space="preserve">Deze categorie kan beschouwd worden als een </w:t>
      </w:r>
      <w:r w:rsidRPr="0069784D">
        <w:rPr>
          <w:rFonts w:cstheme="minorHAnsi"/>
          <w:b/>
          <w:bCs/>
          <w:lang w:val="nl-BE"/>
        </w:rPr>
        <w:t>overkoepelende restcategorie</w:t>
      </w:r>
      <w:r w:rsidR="00F21922" w:rsidRPr="0069784D">
        <w:rPr>
          <w:rStyle w:val="FootnoteReference"/>
          <w:rFonts w:cstheme="minorHAnsi"/>
          <w:lang w:val="nl-BE"/>
        </w:rPr>
        <w:footnoteReference w:customMarkFollows="1" w:id="31"/>
        <w:t>31</w:t>
      </w:r>
      <w:r w:rsidRPr="0069784D">
        <w:rPr>
          <w:rFonts w:cstheme="minorHAnsi"/>
          <w:lang w:val="nl-BE"/>
        </w:rPr>
        <w:t xml:space="preserve">, die dus op de eerste plaats van de basismisdrijven komt. </w:t>
      </w:r>
    </w:p>
    <w:p w14:paraId="4C6C3D66" w14:textId="1F3C98DA" w:rsidR="009B112A" w:rsidRPr="0069784D" w:rsidRDefault="009B112A" w:rsidP="009C15CF">
      <w:pPr>
        <w:jc w:val="both"/>
        <w:rPr>
          <w:rFonts w:cstheme="minorHAnsi"/>
          <w:lang w:val="nl-BE"/>
        </w:rPr>
      </w:pPr>
      <w:r w:rsidRPr="0069784D">
        <w:rPr>
          <w:rFonts w:cstheme="minorHAnsi"/>
          <w:lang w:val="nl-BE"/>
        </w:rPr>
        <w:t xml:space="preserve">De wetgever </w:t>
      </w:r>
      <w:r w:rsidR="004A383D">
        <w:rPr>
          <w:rFonts w:cstheme="minorHAnsi"/>
          <w:lang w:val="nl-BE"/>
        </w:rPr>
        <w:t xml:space="preserve">lijkt zich </w:t>
      </w:r>
      <w:r w:rsidR="004A383D" w:rsidRPr="004E4270">
        <w:rPr>
          <w:rFonts w:cstheme="minorHAnsi"/>
          <w:lang w:val="nl-BE"/>
        </w:rPr>
        <w:t>daartoe aan te sluiten bij de</w:t>
      </w:r>
      <w:r w:rsidRPr="004E4270">
        <w:rPr>
          <w:rFonts w:cstheme="minorHAnsi"/>
          <w:lang w:val="nl-BE"/>
        </w:rPr>
        <w:t xml:space="preserve"> rechtspraak</w:t>
      </w:r>
      <w:r w:rsidR="004A383D" w:rsidRPr="004E4270">
        <w:rPr>
          <w:rFonts w:cstheme="minorHAnsi"/>
          <w:lang w:val="nl-BE"/>
        </w:rPr>
        <w:t xml:space="preserve"> zoals deze zich</w:t>
      </w:r>
      <w:r w:rsidRPr="004E4270">
        <w:rPr>
          <w:rFonts w:cstheme="minorHAnsi"/>
          <w:lang w:val="nl-BE"/>
        </w:rPr>
        <w:t xml:space="preserve"> in het kader van de aanranding van de eerbaarheid</w:t>
      </w:r>
      <w:r w:rsidR="004A383D" w:rsidRPr="004E4270">
        <w:rPr>
          <w:rFonts w:cstheme="minorHAnsi"/>
          <w:lang w:val="nl-BE"/>
        </w:rPr>
        <w:t xml:space="preserve"> heeft ontwikkeld</w:t>
      </w:r>
      <w:r w:rsidRPr="004E4270">
        <w:rPr>
          <w:rFonts w:cstheme="minorHAnsi"/>
          <w:lang w:val="nl-BE"/>
        </w:rPr>
        <w:t>,</w:t>
      </w:r>
      <w:r w:rsidR="00D733C0" w:rsidRPr="004E4270">
        <w:rPr>
          <w:rFonts w:cstheme="minorHAnsi"/>
          <w:lang w:val="nl-BE"/>
        </w:rPr>
        <w:t xml:space="preserve"> gezien zij onderlijnt dat ‘</w:t>
      </w:r>
      <w:r w:rsidR="00D733C0" w:rsidRPr="004E4270">
        <w:rPr>
          <w:rFonts w:cstheme="minorHAnsi"/>
          <w:i/>
          <w:iCs/>
          <w:lang w:val="nl-BE"/>
        </w:rPr>
        <w:t>dezelfde strafbare gedragingen geviseerd worden.</w:t>
      </w:r>
      <w:r w:rsidRPr="004E4270">
        <w:rPr>
          <w:rFonts w:cstheme="minorHAnsi"/>
          <w:lang w:val="nl-BE"/>
        </w:rPr>
        <w:t xml:space="preserve"> </w:t>
      </w:r>
      <w:r w:rsidRPr="004E4270">
        <w:rPr>
          <w:i/>
          <w:iCs/>
          <w:lang w:val="nl-BE"/>
        </w:rPr>
        <w:t>De naamswijziging zal dus niet tot gevolg hebben dat bepaalde gedragingen voorheen strafbaar gesteld als “aanranding van de eerbaarheid” niet meer worden geviseerd”</w:t>
      </w:r>
      <w:r w:rsidRPr="004E4270">
        <w:rPr>
          <w:lang w:val="nl-BE"/>
        </w:rPr>
        <w:t xml:space="preserve"> </w:t>
      </w:r>
      <w:r w:rsidR="00D733C0" w:rsidRPr="004E4270">
        <w:rPr>
          <w:rFonts w:cstheme="minorHAnsi"/>
          <w:lang w:val="nl-BE"/>
        </w:rPr>
        <w:t>en verwijst daartoe</w:t>
      </w:r>
      <w:r w:rsidRPr="004E4270">
        <w:rPr>
          <w:rFonts w:cstheme="minorHAnsi"/>
          <w:lang w:val="nl-BE"/>
        </w:rPr>
        <w:t xml:space="preserve"> naar </w:t>
      </w:r>
      <w:r w:rsidRPr="0069784D">
        <w:rPr>
          <w:rFonts w:cstheme="minorHAnsi"/>
          <w:lang w:val="nl-BE"/>
        </w:rPr>
        <w:t xml:space="preserve">de definitie van het Hof van Cassatie: </w:t>
      </w:r>
      <w:r w:rsidRPr="0069784D">
        <w:rPr>
          <w:i/>
          <w:iCs/>
          <w:lang w:val="nl-BE"/>
        </w:rPr>
        <w:t>“Iedere met de zeden strijdige en als dusdanig gewilde daad, welke op of met behulp van een welbepaald persoon, zonder diens geldige toestemming werd gepleegd en waarbij het algemeen eerbaarheidsgevoel werd gekrenkt. Zij vereist dat handelingen van een bepaalde ernst worden gesteld, die afbreuk doen aan de seksuele integriteit van een persoon, zoals die door het collectieve bewustzijn van een bepaalde samenleving op een bepaald tijdstip wordt ervaren</w:t>
      </w:r>
      <w:r w:rsidR="00405FDB" w:rsidRPr="0069784D">
        <w:rPr>
          <w:i/>
          <w:iCs/>
          <w:lang w:val="nl-BE"/>
        </w:rPr>
        <w:t>.</w:t>
      </w:r>
      <w:r w:rsidRPr="0069784D">
        <w:rPr>
          <w:i/>
          <w:iCs/>
          <w:lang w:val="nl-BE"/>
        </w:rPr>
        <w:t>”</w:t>
      </w:r>
      <w:r w:rsidR="00F21922" w:rsidRPr="0069784D">
        <w:rPr>
          <w:rStyle w:val="FootnoteReference"/>
          <w:rFonts w:cstheme="minorHAnsi"/>
          <w:lang w:val="nl-BE"/>
        </w:rPr>
        <w:footnoteReference w:customMarkFollows="1" w:id="32"/>
        <w:t>32</w:t>
      </w:r>
      <w:r w:rsidRPr="0069784D">
        <w:rPr>
          <w:rFonts w:cstheme="minorHAnsi"/>
          <w:lang w:val="nl-BE"/>
        </w:rPr>
        <w:t xml:space="preserve"> </w:t>
      </w:r>
      <w:r w:rsidR="00F21922" w:rsidRPr="0069784D">
        <w:rPr>
          <w:rStyle w:val="FootnoteReference"/>
          <w:rFonts w:cstheme="minorHAnsi"/>
          <w:lang w:val="nl-BE"/>
        </w:rPr>
        <w:footnoteReference w:customMarkFollows="1" w:id="33"/>
        <w:t>33</w:t>
      </w:r>
      <w:r w:rsidRPr="0069784D">
        <w:rPr>
          <w:rFonts w:cstheme="minorHAnsi"/>
          <w:lang w:val="nl-BE"/>
        </w:rPr>
        <w:t>.</w:t>
      </w:r>
    </w:p>
    <w:p w14:paraId="6F7C546F" w14:textId="72C096AB" w:rsidR="009B112A" w:rsidRPr="0069784D" w:rsidRDefault="00D733C0" w:rsidP="009C15CF">
      <w:pPr>
        <w:jc w:val="both"/>
        <w:rPr>
          <w:rFonts w:cstheme="minorHAnsi"/>
          <w:lang w:val="nl-BE"/>
        </w:rPr>
      </w:pPr>
      <w:r w:rsidRPr="004E4270">
        <w:rPr>
          <w:rFonts w:cstheme="minorHAnsi"/>
          <w:lang w:val="nl-BE"/>
        </w:rPr>
        <w:t>D</w:t>
      </w:r>
      <w:r w:rsidR="009B112A" w:rsidRPr="004E4270">
        <w:rPr>
          <w:rFonts w:cstheme="minorHAnsi"/>
          <w:lang w:val="nl-BE"/>
        </w:rPr>
        <w:t xml:space="preserve">e wetgever </w:t>
      </w:r>
      <w:r w:rsidRPr="004E4270">
        <w:rPr>
          <w:rFonts w:cstheme="minorHAnsi"/>
          <w:lang w:val="nl-BE"/>
        </w:rPr>
        <w:t xml:space="preserve">preciseert evenwel </w:t>
      </w:r>
      <w:r w:rsidR="009B112A" w:rsidRPr="0069784D">
        <w:rPr>
          <w:rFonts w:cstheme="minorHAnsi"/>
          <w:lang w:val="nl-BE"/>
        </w:rPr>
        <w:t xml:space="preserve">dat </w:t>
      </w:r>
      <w:r w:rsidR="0069255C" w:rsidRPr="0069784D">
        <w:rPr>
          <w:rFonts w:cstheme="minorHAnsi"/>
          <w:lang w:val="nl-BE"/>
        </w:rPr>
        <w:t xml:space="preserve">een aantasting van </w:t>
      </w:r>
      <w:r w:rsidR="009B112A" w:rsidRPr="0069784D">
        <w:rPr>
          <w:rFonts w:cstheme="minorHAnsi"/>
          <w:lang w:val="nl-BE"/>
        </w:rPr>
        <w:t xml:space="preserve">de seksuele integriteit, in tegenstelling tot voyeurisme, </w:t>
      </w:r>
      <w:r w:rsidR="009B112A" w:rsidRPr="0069784D">
        <w:rPr>
          <w:rFonts w:cstheme="minorHAnsi"/>
          <w:b/>
          <w:bCs/>
          <w:lang w:val="nl-BE"/>
        </w:rPr>
        <w:t xml:space="preserve">interactie </w:t>
      </w:r>
      <w:r w:rsidR="009B112A" w:rsidRPr="0069784D">
        <w:rPr>
          <w:rFonts w:cstheme="minorHAnsi"/>
          <w:lang w:val="nl-BE"/>
        </w:rPr>
        <w:t xml:space="preserve">tussen dader en slachtoffer impliceert. </w:t>
      </w:r>
    </w:p>
    <w:p w14:paraId="0FC01320" w14:textId="649BD612" w:rsidR="009B112A" w:rsidRPr="0069784D" w:rsidRDefault="009B112A" w:rsidP="009C15CF">
      <w:pPr>
        <w:jc w:val="both"/>
        <w:rPr>
          <w:rFonts w:cstheme="minorHAnsi"/>
          <w:lang w:val="nl-BE"/>
        </w:rPr>
      </w:pPr>
      <w:r w:rsidRPr="0069784D">
        <w:rPr>
          <w:rFonts w:cstheme="minorHAnsi"/>
          <w:lang w:val="nl-BE"/>
        </w:rPr>
        <w:t xml:space="preserve">Is deze interactie er niet, dan is </w:t>
      </w:r>
      <w:r w:rsidR="004E4270">
        <w:rPr>
          <w:rFonts w:cstheme="minorHAnsi"/>
          <w:lang w:val="nl-BE"/>
        </w:rPr>
        <w:t xml:space="preserve">er </w:t>
      </w:r>
      <w:r w:rsidR="00D733C0" w:rsidRPr="004E4270">
        <w:rPr>
          <w:rFonts w:cstheme="minorHAnsi"/>
          <w:lang w:val="nl-BE"/>
        </w:rPr>
        <w:t xml:space="preserve">in voorkomend geval </w:t>
      </w:r>
      <w:r w:rsidRPr="004E4270">
        <w:rPr>
          <w:rFonts w:cstheme="minorHAnsi"/>
          <w:lang w:val="nl-BE"/>
        </w:rPr>
        <w:t xml:space="preserve">eerder </w:t>
      </w:r>
      <w:r w:rsidRPr="0069784D">
        <w:rPr>
          <w:rFonts w:cstheme="minorHAnsi"/>
          <w:lang w:val="nl-BE"/>
        </w:rPr>
        <w:t xml:space="preserve">sprake van voyeurisme. De wetgever stelt hierover het volgende: </w:t>
      </w:r>
      <w:r w:rsidRPr="0069784D">
        <w:rPr>
          <w:rFonts w:cstheme="minorHAnsi"/>
          <w:i/>
          <w:iCs/>
          <w:lang w:val="nl-BE"/>
        </w:rPr>
        <w:t>“</w:t>
      </w:r>
      <w:r w:rsidRPr="0069784D">
        <w:rPr>
          <w:i/>
          <w:iCs/>
          <w:lang w:val="nl-BE"/>
        </w:rPr>
        <w:t>Deze algemene definitie mag evenwel niet tot gevolg hebben dat deze in het vaarwater komt van andere seksuele misdrijven met een specifieke strafbaarstelling zoals voyeurisme</w:t>
      </w:r>
      <w:r w:rsidR="00405FDB" w:rsidRPr="0069784D">
        <w:rPr>
          <w:i/>
          <w:iCs/>
          <w:lang w:val="nl-BE"/>
        </w:rPr>
        <w:t>.</w:t>
      </w:r>
      <w:r w:rsidRPr="0069784D">
        <w:rPr>
          <w:i/>
          <w:iCs/>
          <w:lang w:val="nl-BE"/>
        </w:rPr>
        <w:t>”</w:t>
      </w:r>
      <w:r w:rsidR="00F21922" w:rsidRPr="0069784D">
        <w:rPr>
          <w:rStyle w:val="FootnoteReference"/>
          <w:rFonts w:cstheme="minorHAnsi"/>
          <w:lang w:val="nl-BE"/>
        </w:rPr>
        <w:footnoteReference w:customMarkFollows="1" w:id="34"/>
        <w:t>34</w:t>
      </w:r>
      <w:r w:rsidRPr="0069784D">
        <w:rPr>
          <w:rFonts w:cstheme="minorHAnsi"/>
          <w:lang w:val="nl-BE"/>
        </w:rPr>
        <w:t>.</w:t>
      </w:r>
    </w:p>
    <w:p w14:paraId="56AA5C36" w14:textId="6A64373C" w:rsidR="009B112A" w:rsidRPr="004E4270" w:rsidRDefault="00D733C0" w:rsidP="009C15CF">
      <w:pPr>
        <w:jc w:val="both"/>
        <w:rPr>
          <w:lang w:val="nl-BE"/>
        </w:rPr>
      </w:pPr>
      <w:r w:rsidRPr="004E4270">
        <w:rPr>
          <w:lang w:val="nl-BE"/>
        </w:rPr>
        <w:t>R</w:t>
      </w:r>
      <w:r w:rsidR="009B112A" w:rsidRPr="004E4270">
        <w:rPr>
          <w:lang w:val="nl-BE"/>
        </w:rPr>
        <w:t xml:space="preserve">echtstreeks fysiek contact tussen dader en slachtoffer </w:t>
      </w:r>
      <w:r w:rsidRPr="004E4270">
        <w:rPr>
          <w:lang w:val="nl-BE"/>
        </w:rPr>
        <w:t>is echter niet vereist</w:t>
      </w:r>
      <w:r w:rsidR="00657427" w:rsidRPr="004E4270">
        <w:rPr>
          <w:lang w:val="nl-BE"/>
        </w:rPr>
        <w:t xml:space="preserve">. De </w:t>
      </w:r>
      <w:r w:rsidR="009B112A" w:rsidRPr="004E4270">
        <w:rPr>
          <w:lang w:val="nl-BE"/>
        </w:rPr>
        <w:t xml:space="preserve"> seksuele agressie of verkrachting </w:t>
      </w:r>
      <w:r w:rsidR="00657427" w:rsidRPr="004E4270">
        <w:rPr>
          <w:lang w:val="nl-BE"/>
        </w:rPr>
        <w:t xml:space="preserve">kan </w:t>
      </w:r>
      <w:r w:rsidR="009B112A" w:rsidRPr="004E4270">
        <w:rPr>
          <w:lang w:val="nl-BE"/>
        </w:rPr>
        <w:t xml:space="preserve">ook </w:t>
      </w:r>
      <w:r w:rsidR="009B112A" w:rsidRPr="004E4270">
        <w:rPr>
          <w:b/>
          <w:bCs/>
          <w:lang w:val="nl-BE"/>
        </w:rPr>
        <w:t>vanop afstand</w:t>
      </w:r>
      <w:r w:rsidR="009B112A" w:rsidRPr="004E4270">
        <w:rPr>
          <w:lang w:val="nl-BE"/>
        </w:rPr>
        <w:t xml:space="preserve"> plaatsvinden. In de rechtspraak werd </w:t>
      </w:r>
      <w:r w:rsidR="00657427" w:rsidRPr="004E4270">
        <w:rPr>
          <w:lang w:val="nl-BE"/>
        </w:rPr>
        <w:t xml:space="preserve">er op grond van </w:t>
      </w:r>
      <w:r w:rsidR="009B112A" w:rsidRPr="004E4270">
        <w:rPr>
          <w:lang w:val="nl-BE"/>
        </w:rPr>
        <w:t xml:space="preserve">de </w:t>
      </w:r>
      <w:r w:rsidR="00657427" w:rsidRPr="004E4270">
        <w:rPr>
          <w:lang w:val="nl-BE"/>
        </w:rPr>
        <w:t xml:space="preserve">oude </w:t>
      </w:r>
      <w:r w:rsidR="009B112A" w:rsidRPr="004E4270">
        <w:rPr>
          <w:lang w:val="nl-BE"/>
        </w:rPr>
        <w:t xml:space="preserve">wet </w:t>
      </w:r>
      <w:r w:rsidR="00657427" w:rsidRPr="004E4270">
        <w:rPr>
          <w:lang w:val="nl-BE"/>
        </w:rPr>
        <w:t xml:space="preserve">van </w:t>
      </w:r>
      <w:r w:rsidR="009B112A" w:rsidRPr="004E4270">
        <w:rPr>
          <w:lang w:val="nl-BE"/>
        </w:rPr>
        <w:t>uitgegaan dat fysieke contact geen constitutief bestanddeel van het misdrijf is</w:t>
      </w:r>
      <w:r w:rsidR="00657427" w:rsidRPr="004E4270">
        <w:rPr>
          <w:lang w:val="nl-BE"/>
        </w:rPr>
        <w:t>. Ook de</w:t>
      </w:r>
      <w:r w:rsidR="009B112A" w:rsidRPr="004E4270">
        <w:rPr>
          <w:lang w:val="nl-BE"/>
        </w:rPr>
        <w:t xml:space="preserve"> nieuwe wet </w:t>
      </w:r>
      <w:r w:rsidR="00657427" w:rsidRPr="004E4270">
        <w:rPr>
          <w:lang w:val="nl-BE"/>
        </w:rPr>
        <w:t xml:space="preserve">preciseert </w:t>
      </w:r>
      <w:r w:rsidR="009B112A" w:rsidRPr="004E4270">
        <w:rPr>
          <w:lang w:val="nl-BE"/>
        </w:rPr>
        <w:t xml:space="preserve">dat de seksuele agressie of verkrachting ook gepleegd kunnen worden met hulp van een persoon, </w:t>
      </w:r>
      <w:r w:rsidR="003B1B26" w:rsidRPr="004E4270">
        <w:rPr>
          <w:lang w:val="nl-BE"/>
        </w:rPr>
        <w:t>hetgeen</w:t>
      </w:r>
      <w:r w:rsidR="009B112A" w:rsidRPr="004E4270">
        <w:rPr>
          <w:lang w:val="nl-BE"/>
        </w:rPr>
        <w:t xml:space="preserve"> </w:t>
      </w:r>
      <w:r w:rsidR="003B1B26" w:rsidRPr="004E4270">
        <w:rPr>
          <w:lang w:val="nl-BE"/>
        </w:rPr>
        <w:t xml:space="preserve">afgaande op </w:t>
      </w:r>
      <w:r w:rsidR="009B112A" w:rsidRPr="004E4270">
        <w:rPr>
          <w:lang w:val="nl-BE"/>
        </w:rPr>
        <w:t>de parlementaire werkzaamheden</w:t>
      </w:r>
      <w:r w:rsidR="003B1B26" w:rsidRPr="004E4270">
        <w:rPr>
          <w:lang w:val="nl-BE"/>
        </w:rPr>
        <w:t xml:space="preserve">- </w:t>
      </w:r>
      <w:r w:rsidR="009B112A" w:rsidRPr="004E4270">
        <w:rPr>
          <w:lang w:val="nl-BE"/>
        </w:rPr>
        <w:t>de hypothese</w:t>
      </w:r>
      <w:r w:rsidR="009B112A" w:rsidRPr="004E4270">
        <w:rPr>
          <w:strike/>
          <w:lang w:val="nl-BE"/>
        </w:rPr>
        <w:t>s</w:t>
      </w:r>
      <w:r w:rsidR="009B112A" w:rsidRPr="004E4270">
        <w:rPr>
          <w:lang w:val="nl-BE"/>
        </w:rPr>
        <w:t xml:space="preserve"> omvat waarin het slachtoffer uitvoert wat hem of haar door de dader wordt</w:t>
      </w:r>
      <w:r w:rsidR="003B1B26" w:rsidRPr="004E4270">
        <w:rPr>
          <w:lang w:val="nl-BE"/>
        </w:rPr>
        <w:t xml:space="preserve"> opgedragen</w:t>
      </w:r>
      <w:r w:rsidR="009B112A" w:rsidRPr="004E4270">
        <w:rPr>
          <w:lang w:val="nl-BE"/>
        </w:rPr>
        <w:t xml:space="preserve">, in aanwezigheid van deze laatste of vanop afstand. </w:t>
      </w:r>
    </w:p>
    <w:p w14:paraId="60A05630" w14:textId="406210B4" w:rsidR="009B112A" w:rsidRPr="0069784D" w:rsidRDefault="009B112A" w:rsidP="009C15CF">
      <w:pPr>
        <w:jc w:val="both"/>
        <w:rPr>
          <w:lang w:val="nl-BE"/>
        </w:rPr>
      </w:pPr>
      <w:r w:rsidRPr="0069784D">
        <w:rPr>
          <w:lang w:val="nl-BE"/>
        </w:rPr>
        <w:t xml:space="preserve">Louter verbale seksuele agressie valt </w:t>
      </w:r>
      <w:r w:rsidR="0069255C" w:rsidRPr="0069784D">
        <w:rPr>
          <w:lang w:val="nl-BE"/>
        </w:rPr>
        <w:t xml:space="preserve">dan weer </w:t>
      </w:r>
      <w:r w:rsidRPr="0069784D">
        <w:rPr>
          <w:lang w:val="nl-BE"/>
        </w:rPr>
        <w:t xml:space="preserve">niet </w:t>
      </w:r>
      <w:r w:rsidRPr="004E4270">
        <w:rPr>
          <w:lang w:val="nl-BE"/>
        </w:rPr>
        <w:t xml:space="preserve">onder de definitie, maar kan </w:t>
      </w:r>
      <w:r w:rsidR="00F458D2" w:rsidRPr="004E4270">
        <w:rPr>
          <w:lang w:val="nl-BE"/>
        </w:rPr>
        <w:t xml:space="preserve">desgevallend </w:t>
      </w:r>
      <w:r w:rsidRPr="004E4270">
        <w:rPr>
          <w:lang w:val="nl-BE"/>
        </w:rPr>
        <w:t>vervolgd worden</w:t>
      </w:r>
      <w:r w:rsidR="00F458D2" w:rsidRPr="004E4270">
        <w:rPr>
          <w:lang w:val="nl-BE"/>
        </w:rPr>
        <w:tab/>
        <w:t xml:space="preserve">op grond van de tenlasteleggingen </w:t>
      </w:r>
      <w:r w:rsidRPr="004E4270">
        <w:rPr>
          <w:strike/>
          <w:lang w:val="nl-BE"/>
        </w:rPr>
        <w:t>van</w:t>
      </w:r>
      <w:r w:rsidRPr="004E4270">
        <w:rPr>
          <w:lang w:val="nl-BE"/>
        </w:rPr>
        <w:t xml:space="preserve"> belaging of seksisme</w:t>
      </w:r>
      <w:r w:rsidRPr="0069784D">
        <w:rPr>
          <w:lang w:val="nl-BE"/>
        </w:rPr>
        <w:t>.</w:t>
      </w:r>
    </w:p>
    <w:p w14:paraId="02174FB9" w14:textId="441B46B3" w:rsidR="009B112A" w:rsidRPr="004E4270" w:rsidRDefault="00F458D2" w:rsidP="009C15CF">
      <w:pPr>
        <w:jc w:val="both"/>
        <w:rPr>
          <w:lang w:val="nl-BE"/>
        </w:rPr>
      </w:pPr>
      <w:r w:rsidRPr="004E4270">
        <w:rPr>
          <w:lang w:val="nl-BE"/>
        </w:rPr>
        <w:t xml:space="preserve">Conform </w:t>
      </w:r>
      <w:r w:rsidR="009B112A" w:rsidRPr="004E4270">
        <w:rPr>
          <w:lang w:val="nl-BE"/>
        </w:rPr>
        <w:t>de vroegere rechtspraak worden</w:t>
      </w:r>
      <w:r w:rsidRPr="004E4270">
        <w:rPr>
          <w:lang w:val="nl-BE"/>
        </w:rPr>
        <w:t xml:space="preserve"> onder meer</w:t>
      </w:r>
      <w:r w:rsidR="009B112A" w:rsidRPr="004E4270">
        <w:rPr>
          <w:lang w:val="nl-BE"/>
        </w:rPr>
        <w:t xml:space="preserve"> volgende strafbare handelingen door deze bepaling beoogd</w:t>
      </w:r>
      <w:r w:rsidR="00F21922" w:rsidRPr="004E4270">
        <w:rPr>
          <w:rStyle w:val="FootnoteReference"/>
          <w:lang w:val="nl-BE"/>
        </w:rPr>
        <w:footnoteReference w:customMarkFollows="1" w:id="35"/>
        <w:t>35</w:t>
      </w:r>
      <w:r w:rsidR="009B112A" w:rsidRPr="004E4270">
        <w:rPr>
          <w:lang w:val="nl-BE"/>
        </w:rPr>
        <w:t>:</w:t>
      </w:r>
    </w:p>
    <w:p w14:paraId="535A2F58" w14:textId="77777777" w:rsidR="009B112A" w:rsidRPr="004E4270" w:rsidRDefault="009B112A" w:rsidP="009C15CF">
      <w:pPr>
        <w:pStyle w:val="ListParagraph"/>
        <w:numPr>
          <w:ilvl w:val="0"/>
          <w:numId w:val="5"/>
        </w:numPr>
        <w:jc w:val="both"/>
        <w:rPr>
          <w:lang w:val="nl-BE"/>
        </w:rPr>
      </w:pPr>
      <w:r w:rsidRPr="004E4270">
        <w:rPr>
          <w:lang w:val="nl-BE"/>
        </w:rPr>
        <w:t>Niet-consensuele seksuele handelingen op een persoon</w:t>
      </w:r>
    </w:p>
    <w:p w14:paraId="45D71338" w14:textId="77777777" w:rsidR="009B112A" w:rsidRPr="004E4270" w:rsidRDefault="009B112A" w:rsidP="009C15CF">
      <w:pPr>
        <w:pStyle w:val="ListParagraph"/>
        <w:numPr>
          <w:ilvl w:val="0"/>
          <w:numId w:val="5"/>
        </w:numPr>
        <w:jc w:val="both"/>
        <w:rPr>
          <w:lang w:val="nl-BE"/>
        </w:rPr>
      </w:pPr>
      <w:r w:rsidRPr="004E4270">
        <w:rPr>
          <w:lang w:val="nl-BE"/>
        </w:rPr>
        <w:lastRenderedPageBreak/>
        <w:t>Niet-consensuele seksuele handelingen die door het slachtoffer verplicht op de persoon van de dader of van een derde worden gepleegd</w:t>
      </w:r>
    </w:p>
    <w:p w14:paraId="67092A6D" w14:textId="77777777" w:rsidR="009B112A" w:rsidRPr="004E4270" w:rsidRDefault="009B112A" w:rsidP="009C15CF">
      <w:pPr>
        <w:pStyle w:val="ListParagraph"/>
        <w:numPr>
          <w:ilvl w:val="0"/>
          <w:numId w:val="5"/>
        </w:numPr>
        <w:jc w:val="both"/>
        <w:rPr>
          <w:lang w:val="nl-BE"/>
        </w:rPr>
      </w:pPr>
      <w:r w:rsidRPr="004E4270">
        <w:rPr>
          <w:lang w:val="nl-BE"/>
        </w:rPr>
        <w:t>Niet-consensuele seksuele handelingen die het slachtoffer door toedoen van de dader op zichzelf pleegt</w:t>
      </w:r>
    </w:p>
    <w:p w14:paraId="65AD84B1" w14:textId="77777777" w:rsidR="009B112A" w:rsidRPr="004E4270" w:rsidRDefault="009B112A" w:rsidP="009C15CF">
      <w:pPr>
        <w:pStyle w:val="ListParagraph"/>
        <w:numPr>
          <w:ilvl w:val="0"/>
          <w:numId w:val="5"/>
        </w:numPr>
        <w:jc w:val="both"/>
        <w:rPr>
          <w:lang w:val="nl-BE"/>
        </w:rPr>
      </w:pPr>
      <w:r w:rsidRPr="004E4270">
        <w:rPr>
          <w:lang w:val="nl-BE"/>
        </w:rPr>
        <w:t xml:space="preserve">Niet-consensuele seksuele handelingen via een derde op een slachtoffer </w:t>
      </w:r>
    </w:p>
    <w:p w14:paraId="4CC8661F" w14:textId="77777777" w:rsidR="009B112A" w:rsidRPr="004E4270" w:rsidRDefault="009B112A" w:rsidP="009C15CF">
      <w:pPr>
        <w:pStyle w:val="ListParagraph"/>
        <w:numPr>
          <w:ilvl w:val="0"/>
          <w:numId w:val="5"/>
        </w:numPr>
        <w:jc w:val="both"/>
        <w:rPr>
          <w:lang w:val="nl-BE"/>
        </w:rPr>
      </w:pPr>
      <w:r w:rsidRPr="004E4270">
        <w:rPr>
          <w:lang w:val="nl-BE"/>
        </w:rPr>
        <w:t xml:space="preserve">Een persoon die hiermee niet instemt doen deelnemen aan een seksuele handeling </w:t>
      </w:r>
    </w:p>
    <w:p w14:paraId="3F029BB6" w14:textId="258D608C" w:rsidR="009B112A" w:rsidRPr="004E4270" w:rsidRDefault="009B112A" w:rsidP="009C15CF">
      <w:pPr>
        <w:pStyle w:val="ListParagraph"/>
        <w:numPr>
          <w:ilvl w:val="0"/>
          <w:numId w:val="5"/>
        </w:numPr>
        <w:jc w:val="both"/>
        <w:rPr>
          <w:rFonts w:cstheme="minorHAnsi"/>
          <w:lang w:val="nl-BE"/>
        </w:rPr>
      </w:pPr>
      <w:r w:rsidRPr="004E4270">
        <w:rPr>
          <w:lang w:val="nl-BE"/>
        </w:rPr>
        <w:t>Een persoon die hiermee niet instemt getuige laten zijn (zelfs zonder deelname) van seksuele handelingen of seksueel misbruik</w:t>
      </w:r>
      <w:r w:rsidR="00F21922" w:rsidRPr="004E4270">
        <w:rPr>
          <w:rStyle w:val="FootnoteReference"/>
          <w:rFonts w:cstheme="minorHAnsi"/>
          <w:lang w:val="nl-BE"/>
        </w:rPr>
        <w:footnoteReference w:customMarkFollows="1" w:id="36"/>
        <w:t>36</w:t>
      </w:r>
      <w:r w:rsidRPr="004E4270">
        <w:rPr>
          <w:rFonts w:cstheme="minorHAnsi"/>
          <w:lang w:val="nl-BE"/>
        </w:rPr>
        <w:t xml:space="preserve"> </w:t>
      </w:r>
    </w:p>
    <w:p w14:paraId="621C76E6" w14:textId="65742CC6" w:rsidR="009B112A" w:rsidRPr="0069784D" w:rsidRDefault="009B112A" w:rsidP="009C15CF">
      <w:pPr>
        <w:jc w:val="both"/>
        <w:rPr>
          <w:lang w:val="nl-BE"/>
        </w:rPr>
      </w:pPr>
      <w:r w:rsidRPr="004E4270">
        <w:rPr>
          <w:lang w:val="nl-BE"/>
        </w:rPr>
        <w:t>Deze kwalificatie kan subsidiair oo</w:t>
      </w:r>
      <w:r w:rsidR="004E596B" w:rsidRPr="004E4270">
        <w:rPr>
          <w:lang w:val="nl-BE"/>
        </w:rPr>
        <w:t>k</w:t>
      </w:r>
      <w:r w:rsidRPr="004E4270">
        <w:rPr>
          <w:lang w:val="nl-BE"/>
        </w:rPr>
        <w:t xml:space="preserve"> toegepast </w:t>
      </w:r>
      <w:r w:rsidR="00F458D2" w:rsidRPr="004E4270">
        <w:rPr>
          <w:lang w:val="nl-BE"/>
        </w:rPr>
        <w:t xml:space="preserve">in geval van </w:t>
      </w:r>
      <w:r w:rsidRPr="004E4270">
        <w:rPr>
          <w:lang w:val="nl-BE"/>
        </w:rPr>
        <w:t xml:space="preserve">‘verkrachting’ indien er </w:t>
      </w:r>
      <w:r w:rsidR="00F458D2" w:rsidRPr="004E4270">
        <w:rPr>
          <w:lang w:val="nl-BE"/>
        </w:rPr>
        <w:t xml:space="preserve">evenzeer </w:t>
      </w:r>
      <w:r w:rsidRPr="004E4270">
        <w:rPr>
          <w:lang w:val="nl-BE"/>
        </w:rPr>
        <w:t>sprake was van</w:t>
      </w:r>
      <w:r w:rsidR="00F458D2" w:rsidRPr="004E4270">
        <w:rPr>
          <w:lang w:val="nl-BE"/>
        </w:rPr>
        <w:t xml:space="preserve"> niet consensueel</w:t>
      </w:r>
      <w:r w:rsidRPr="004E4270">
        <w:rPr>
          <w:lang w:val="nl-BE"/>
        </w:rPr>
        <w:t xml:space="preserve"> seksueel </w:t>
      </w:r>
      <w:r w:rsidRPr="0069784D">
        <w:rPr>
          <w:lang w:val="nl-BE"/>
        </w:rPr>
        <w:t xml:space="preserve">contact zonder penetratie. </w:t>
      </w:r>
    </w:p>
    <w:p w14:paraId="790A30F7" w14:textId="77777777" w:rsidR="009B112A" w:rsidRPr="0069784D" w:rsidRDefault="009B112A" w:rsidP="009C15CF">
      <w:pPr>
        <w:jc w:val="both"/>
        <w:rPr>
          <w:rFonts w:cstheme="minorHAnsi"/>
          <w:lang w:val="nl-BE"/>
        </w:rPr>
      </w:pPr>
      <w:r w:rsidRPr="0069784D">
        <w:rPr>
          <w:rFonts w:cstheme="minorHAnsi"/>
          <w:lang w:val="nl-BE"/>
        </w:rPr>
        <w:t>Er is een bijzonder opzet vereist.</w:t>
      </w:r>
    </w:p>
    <w:p w14:paraId="170564A6" w14:textId="0B32670D" w:rsidR="009B112A" w:rsidRPr="0069784D" w:rsidRDefault="009B112A" w:rsidP="009C15CF">
      <w:pPr>
        <w:jc w:val="both"/>
        <w:rPr>
          <w:rFonts w:cstheme="minorHAnsi"/>
          <w:lang w:val="nl-BE"/>
        </w:rPr>
      </w:pPr>
      <w:r w:rsidRPr="0069784D">
        <w:rPr>
          <w:rFonts w:cstheme="minorHAnsi"/>
          <w:lang w:val="nl-BE"/>
        </w:rPr>
        <w:t xml:space="preserve">Er wordt niet </w:t>
      </w:r>
      <w:r w:rsidRPr="004E4270">
        <w:rPr>
          <w:rFonts w:cstheme="minorHAnsi"/>
          <w:lang w:val="nl-BE"/>
        </w:rPr>
        <w:t xml:space="preserve">langer verwezen naar een persoon van het mannelijke of het vrouwelijke geslacht teneinde </w:t>
      </w:r>
      <w:r w:rsidR="00F458D2" w:rsidRPr="004E4270">
        <w:rPr>
          <w:rFonts w:cstheme="minorHAnsi"/>
          <w:lang w:val="nl-BE"/>
        </w:rPr>
        <w:t xml:space="preserve">nodeloze discussies </w:t>
      </w:r>
      <w:r w:rsidRPr="004E4270">
        <w:rPr>
          <w:rFonts w:cstheme="minorHAnsi"/>
          <w:lang w:val="nl-BE"/>
        </w:rPr>
        <w:t xml:space="preserve">(vb. </w:t>
      </w:r>
      <w:r w:rsidR="00F458D2" w:rsidRPr="004E4270">
        <w:rPr>
          <w:rFonts w:cstheme="minorHAnsi"/>
          <w:lang w:val="nl-BE"/>
        </w:rPr>
        <w:t xml:space="preserve">in de context van </w:t>
      </w:r>
      <w:r w:rsidRPr="004E4270">
        <w:rPr>
          <w:rFonts w:cstheme="minorHAnsi"/>
          <w:lang w:val="nl-BE"/>
        </w:rPr>
        <w:t>transgenderpersonen)</w:t>
      </w:r>
      <w:r w:rsidR="00F458D2" w:rsidRPr="004E4270">
        <w:rPr>
          <w:rFonts w:cstheme="minorHAnsi"/>
          <w:lang w:val="nl-BE"/>
        </w:rPr>
        <w:t xml:space="preserve"> te vermijden.</w:t>
      </w:r>
      <w:r w:rsidRPr="004E4270">
        <w:rPr>
          <w:rFonts w:cstheme="minorHAnsi"/>
          <w:lang w:val="nl-BE"/>
        </w:rPr>
        <w:t xml:space="preserve"> </w:t>
      </w:r>
    </w:p>
    <w:p w14:paraId="57E35276" w14:textId="77777777" w:rsidR="006D0973" w:rsidRPr="0069784D" w:rsidRDefault="006D0973" w:rsidP="009C15CF">
      <w:pPr>
        <w:jc w:val="both"/>
        <w:rPr>
          <w:rFonts w:cstheme="minorHAnsi"/>
          <w:lang w:val="nl-BE"/>
        </w:rPr>
      </w:pPr>
    </w:p>
    <w:p w14:paraId="39EB84B4" w14:textId="77777777" w:rsidR="009B112A" w:rsidRPr="0069784D" w:rsidRDefault="009B112A" w:rsidP="009C15CF">
      <w:pPr>
        <w:jc w:val="both"/>
        <w:rPr>
          <w:bCs/>
          <w:color w:val="000000"/>
          <w:sz w:val="32"/>
          <w:szCs w:val="32"/>
          <w:lang w:val="nl-BE"/>
        </w:rPr>
      </w:pPr>
      <w:r w:rsidRPr="0069784D">
        <w:rPr>
          <w:bCs/>
          <w:color w:val="000000"/>
          <w:sz w:val="32"/>
          <w:szCs w:val="32"/>
          <w:lang w:val="nl-BE"/>
        </w:rPr>
        <w:t>Artikel 417/8 – Voyeurisme</w:t>
      </w:r>
    </w:p>
    <w:p w14:paraId="1B4EB7CC" w14:textId="77777777" w:rsidR="009B112A" w:rsidRPr="0069784D" w:rsidRDefault="009B112A" w:rsidP="009C15CF">
      <w:pPr>
        <w:jc w:val="both"/>
        <w:rPr>
          <w:bCs/>
          <w:color w:val="000000"/>
          <w:lang w:val="nl-BE"/>
        </w:rPr>
      </w:pPr>
    </w:p>
    <w:p w14:paraId="35EDCEBF"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Voyeurisme is het observeren of doen observeren van een persoon of van deze persoon een beeld- of geluidsopname maken of doen maken,</w:t>
      </w:r>
    </w:p>
    <w:p w14:paraId="7F2153B8"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 rechtstreeks of door middel van een technisch of ander hulpmiddel;</w:t>
      </w:r>
    </w:p>
    <w:p w14:paraId="3C95ADFC"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 zonder de toestemming van die persoon of buiten zijn medeweten;</w:t>
      </w:r>
    </w:p>
    <w:p w14:paraId="55406500"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 terwijl die persoon ontbloot is of een expliciete seksuele daad stelt; en</w:t>
      </w:r>
    </w:p>
    <w:p w14:paraId="226FA3A4"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 terwijl die persoon zich in omstandigheden bevindt, waarin hij redelijkerwijs mag verwachten beschut te zijn voor ongewenste blikken.</w:t>
      </w:r>
    </w:p>
    <w:p w14:paraId="2FE5A0F9"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Onder ontblote persoon wordt begrepen de persoon die zonder toestemming of buiten zijn medeweten een deel van zijn lichaam toont dat op grond van zijn seksuele integriteit verhuld zou zijn gebleven indien die persoon had geweten dat hij werd geobserveerd of dat er een beeld- of geluidsopname van hem werd gemaakt.</w:t>
      </w:r>
    </w:p>
    <w:p w14:paraId="175D347F"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 xml:space="preserve">Dit misdrijf wordt bestraft met </w:t>
      </w:r>
      <w:r w:rsidRPr="0069784D">
        <w:rPr>
          <w:b/>
          <w:bCs/>
          <w:color w:val="000000"/>
          <w:lang w:val="nl-BE"/>
        </w:rPr>
        <w:t>gevangenisstraf van zes maanden tot vijf jaar</w:t>
      </w:r>
      <w:r w:rsidRPr="0069784D">
        <w:rPr>
          <w:color w:val="000000"/>
          <w:lang w:val="nl-BE"/>
        </w:rPr>
        <w:t>.</w:t>
      </w:r>
    </w:p>
    <w:p w14:paraId="6DB39CEA" w14:textId="180B3FDC"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Voyeurisme bestaat zodra er begin van uitvoering is.</w:t>
      </w:r>
    </w:p>
    <w:p w14:paraId="1E97A05D" w14:textId="77777777" w:rsidR="009B112A" w:rsidRPr="0069784D" w:rsidRDefault="009B112A" w:rsidP="009C15CF">
      <w:pPr>
        <w:jc w:val="both"/>
        <w:rPr>
          <w:color w:val="000000"/>
          <w:u w:val="single"/>
          <w:lang w:val="nl-BE"/>
        </w:rPr>
      </w:pPr>
    </w:p>
    <w:p w14:paraId="39EFE43B" w14:textId="33F47ABD" w:rsidR="009B112A" w:rsidRPr="0069784D" w:rsidRDefault="009B112A" w:rsidP="009C15CF">
      <w:pPr>
        <w:jc w:val="both"/>
        <w:rPr>
          <w:rFonts w:cstheme="minorHAnsi"/>
          <w:lang w:val="nl-BE"/>
        </w:rPr>
      </w:pPr>
      <w:r w:rsidRPr="0069784D">
        <w:rPr>
          <w:rFonts w:cstheme="minorHAnsi"/>
          <w:lang w:val="nl-BE"/>
        </w:rPr>
        <w:lastRenderedPageBreak/>
        <w:t>De algemene bepalingen betreffende de toestemming uit deze afdeling zijn ook van toepassing op voyeurisme</w:t>
      </w:r>
      <w:r w:rsidR="006D0973" w:rsidRPr="0069784D">
        <w:rPr>
          <w:rStyle w:val="FootnoteReference"/>
          <w:rFonts w:cstheme="minorHAnsi"/>
          <w:lang w:val="nl-BE"/>
        </w:rPr>
        <w:footnoteReference w:customMarkFollows="1" w:id="37"/>
        <w:t>37</w:t>
      </w:r>
      <w:r w:rsidRPr="0069784D">
        <w:rPr>
          <w:rFonts w:cstheme="minorHAnsi"/>
          <w:lang w:val="nl-BE"/>
        </w:rPr>
        <w:t>.</w:t>
      </w:r>
    </w:p>
    <w:p w14:paraId="43137A1C" w14:textId="77777777" w:rsidR="009B112A" w:rsidRPr="0069784D" w:rsidRDefault="009B112A" w:rsidP="009C15CF">
      <w:pPr>
        <w:jc w:val="both"/>
        <w:rPr>
          <w:color w:val="000000"/>
          <w:lang w:val="nl-BE"/>
        </w:rPr>
      </w:pPr>
      <w:r w:rsidRPr="0069784D">
        <w:rPr>
          <w:color w:val="000000"/>
          <w:lang w:val="nl-BE"/>
        </w:rPr>
        <w:t xml:space="preserve">Er wordt een definitie van ‘ontblote persoon’ toegevoegd. </w:t>
      </w:r>
    </w:p>
    <w:p w14:paraId="5D40535F" w14:textId="78A22391" w:rsidR="009B112A" w:rsidRPr="0069784D" w:rsidRDefault="009B112A" w:rsidP="009C15CF">
      <w:pPr>
        <w:jc w:val="both"/>
        <w:rPr>
          <w:color w:val="000000"/>
          <w:lang w:val="nl-BE"/>
        </w:rPr>
      </w:pPr>
      <w:r w:rsidRPr="0069784D">
        <w:rPr>
          <w:color w:val="000000"/>
          <w:lang w:val="nl-BE"/>
        </w:rPr>
        <w:t>Het is niet vereist dat de persoon door derden herkenbaar is (rechtspraak van het Hof van Cassatie)</w:t>
      </w:r>
      <w:r w:rsidR="006D0973" w:rsidRPr="0069784D">
        <w:rPr>
          <w:rStyle w:val="FootnoteReference"/>
          <w:color w:val="000000"/>
          <w:lang w:val="nl-BE"/>
        </w:rPr>
        <w:footnoteReference w:customMarkFollows="1" w:id="38"/>
        <w:t>38</w:t>
      </w:r>
      <w:r w:rsidRPr="0069784D">
        <w:rPr>
          <w:color w:val="000000"/>
          <w:lang w:val="nl-BE"/>
        </w:rPr>
        <w:t>.</w:t>
      </w:r>
    </w:p>
    <w:p w14:paraId="07CB3D21" w14:textId="27A81266" w:rsidR="009B112A" w:rsidRPr="0069784D" w:rsidRDefault="009B112A" w:rsidP="009C15CF">
      <w:pPr>
        <w:jc w:val="both"/>
        <w:rPr>
          <w:color w:val="000000"/>
          <w:lang w:val="nl-BE"/>
        </w:rPr>
      </w:pPr>
      <w:r w:rsidRPr="0069784D">
        <w:rPr>
          <w:color w:val="000000"/>
          <w:lang w:val="nl-BE"/>
        </w:rPr>
        <w:t xml:space="preserve">De bedoeling hiervan ligt er in </w:t>
      </w:r>
      <w:r w:rsidR="00B725CB" w:rsidRPr="0069784D">
        <w:rPr>
          <w:b/>
          <w:i/>
          <w:iCs/>
          <w:color w:val="000000"/>
          <w:lang w:val="nl-BE"/>
        </w:rPr>
        <w:t>creepshots</w:t>
      </w:r>
      <w:r w:rsidR="00B725CB" w:rsidRPr="0069784D">
        <w:rPr>
          <w:i/>
          <w:iCs/>
          <w:color w:val="000000"/>
          <w:lang w:val="nl-BE"/>
        </w:rPr>
        <w:t xml:space="preserve"> strafbaar</w:t>
      </w:r>
      <w:r w:rsidRPr="0069784D">
        <w:rPr>
          <w:color w:val="000000"/>
          <w:lang w:val="nl-BE"/>
        </w:rPr>
        <w:t xml:space="preserve"> te kunnen stellen (vb. foto’s van het ondergoed onder de kledij die genomen worden zonder dat de betrokkene hier iets van afweet).</w:t>
      </w:r>
    </w:p>
    <w:p w14:paraId="1AF4D7C2" w14:textId="17D3B078" w:rsidR="009B112A" w:rsidRPr="004E4270" w:rsidRDefault="009B112A" w:rsidP="009C15CF">
      <w:pPr>
        <w:jc w:val="both"/>
        <w:rPr>
          <w:lang w:val="nl-BE"/>
        </w:rPr>
      </w:pPr>
      <w:r w:rsidRPr="0069784D">
        <w:rPr>
          <w:color w:val="000000"/>
          <w:lang w:val="nl-BE"/>
        </w:rPr>
        <w:t xml:space="preserve">In de memorie van toelichting wordt daarentegen verduidelijkt dat het niet de bedoeling is om een strafbaarstelling in te voeren </w:t>
      </w:r>
      <w:r w:rsidR="00405FDB" w:rsidRPr="0069784D">
        <w:rPr>
          <w:color w:val="000000"/>
          <w:lang w:val="nl-BE"/>
        </w:rPr>
        <w:t>voor</w:t>
      </w:r>
      <w:r w:rsidRPr="0069784D">
        <w:rPr>
          <w:color w:val="000000"/>
          <w:lang w:val="nl-BE"/>
        </w:rPr>
        <w:t xml:space="preserve"> het bekijken van een persoon in zwemkledij aan het zwembad of op het strand, zelfs niet wanneer betrokkene dit als een aantasting van zijn of haar seksuele integriteit beschouwt</w:t>
      </w:r>
      <w:r w:rsidR="006D0973" w:rsidRPr="0069784D">
        <w:rPr>
          <w:rStyle w:val="FootnoteReference"/>
          <w:color w:val="000000"/>
          <w:lang w:val="nl-BE"/>
        </w:rPr>
        <w:footnoteReference w:customMarkFollows="1" w:id="39"/>
        <w:t>39</w:t>
      </w:r>
      <w:r w:rsidRPr="0069784D">
        <w:rPr>
          <w:color w:val="000000"/>
          <w:lang w:val="nl-BE"/>
        </w:rPr>
        <w:t>. “</w:t>
      </w:r>
      <w:r w:rsidRPr="0069784D">
        <w:rPr>
          <w:lang w:val="nl-BE"/>
        </w:rPr>
        <w:t xml:space="preserve">Het samenzijn in de badkamer in een gezinscontext” wordt eveneens expliciet </w:t>
      </w:r>
      <w:r w:rsidRPr="004E4270">
        <w:rPr>
          <w:lang w:val="nl-BE"/>
        </w:rPr>
        <w:t>uitgesloten</w:t>
      </w:r>
      <w:r w:rsidR="006D0973" w:rsidRPr="004E4270">
        <w:rPr>
          <w:rStyle w:val="FootnoteReference"/>
          <w:lang w:val="nl-BE"/>
        </w:rPr>
        <w:footnoteReference w:customMarkFollows="1" w:id="40"/>
        <w:t>40</w:t>
      </w:r>
      <w:r w:rsidRPr="004E4270">
        <w:rPr>
          <w:lang w:val="nl-BE"/>
        </w:rPr>
        <w:t>.</w:t>
      </w:r>
    </w:p>
    <w:p w14:paraId="3E05ECDE" w14:textId="0CA78A58" w:rsidR="009B112A" w:rsidRPr="004E4270" w:rsidRDefault="00761820" w:rsidP="009C15CF">
      <w:pPr>
        <w:jc w:val="both"/>
        <w:rPr>
          <w:lang w:val="nl-BE"/>
        </w:rPr>
      </w:pPr>
      <w:r w:rsidRPr="004E4270">
        <w:rPr>
          <w:lang w:val="nl-BE"/>
        </w:rPr>
        <w:t xml:space="preserve">Waar het </w:t>
      </w:r>
      <w:r w:rsidR="009B112A" w:rsidRPr="004E4270">
        <w:rPr>
          <w:lang w:val="nl-BE"/>
        </w:rPr>
        <w:t xml:space="preserve">de wetgever </w:t>
      </w:r>
      <w:r w:rsidRPr="004E4270">
        <w:rPr>
          <w:lang w:val="nl-BE"/>
        </w:rPr>
        <w:t xml:space="preserve">in principe toekomt </w:t>
      </w:r>
      <w:r w:rsidR="009B112A" w:rsidRPr="004E4270">
        <w:rPr>
          <w:lang w:val="nl-BE"/>
        </w:rPr>
        <w:t>de in de wet gehanteerde terminologie te omschrijven</w:t>
      </w:r>
      <w:r w:rsidRPr="004E4270">
        <w:rPr>
          <w:lang w:val="nl-BE"/>
        </w:rPr>
        <w:t xml:space="preserve"> aan de hand van de parlementaire voorbereidingen</w:t>
      </w:r>
      <w:r w:rsidR="009B112A" w:rsidRPr="004E4270">
        <w:rPr>
          <w:lang w:val="nl-BE"/>
        </w:rPr>
        <w:t xml:space="preserve">, lijkt het </w:t>
      </w:r>
      <w:r w:rsidRPr="004E4270">
        <w:rPr>
          <w:lang w:val="nl-BE"/>
        </w:rPr>
        <w:t xml:space="preserve">toch bekritiseerbaar </w:t>
      </w:r>
      <w:r w:rsidR="00405FDB" w:rsidRPr="004E4270">
        <w:rPr>
          <w:lang w:val="nl-BE"/>
        </w:rPr>
        <w:t>om</w:t>
      </w:r>
      <w:r w:rsidR="009B112A" w:rsidRPr="004E4270">
        <w:rPr>
          <w:lang w:val="nl-BE"/>
        </w:rPr>
        <w:t xml:space="preserve"> </w:t>
      </w:r>
      <w:r w:rsidRPr="004E4270">
        <w:rPr>
          <w:lang w:val="nl-BE"/>
        </w:rPr>
        <w:t xml:space="preserve">de strafbaarstelling van sommige feitelijkheden </w:t>
      </w:r>
      <w:r w:rsidRPr="004E4270">
        <w:rPr>
          <w:i/>
          <w:iCs/>
          <w:lang w:val="nl-BE"/>
        </w:rPr>
        <w:t>a priori</w:t>
      </w:r>
      <w:r w:rsidRPr="004E4270">
        <w:rPr>
          <w:lang w:val="nl-BE"/>
        </w:rPr>
        <w:t xml:space="preserve"> uit te sluiten. </w:t>
      </w:r>
      <w:r w:rsidR="009B112A" w:rsidRPr="004E4270">
        <w:rPr>
          <w:lang w:val="nl-BE"/>
        </w:rPr>
        <w:t xml:space="preserve">zonder dat er sprake is van een </w:t>
      </w:r>
      <w:r w:rsidRPr="004E4270">
        <w:rPr>
          <w:lang w:val="nl-BE"/>
        </w:rPr>
        <w:t xml:space="preserve">mogelijkheid tot </w:t>
      </w:r>
      <w:r w:rsidR="009B112A" w:rsidRPr="004E4270">
        <w:rPr>
          <w:lang w:val="nl-BE"/>
        </w:rPr>
        <w:t xml:space="preserve">beoordeling van de </w:t>
      </w:r>
      <w:r w:rsidRPr="004E4270">
        <w:rPr>
          <w:lang w:val="nl-BE"/>
        </w:rPr>
        <w:t xml:space="preserve">concrete </w:t>
      </w:r>
      <w:r w:rsidR="009B112A" w:rsidRPr="004E4270">
        <w:rPr>
          <w:lang w:val="nl-BE"/>
        </w:rPr>
        <w:t xml:space="preserve">omstandigheden van de </w:t>
      </w:r>
      <w:r w:rsidRPr="004E4270">
        <w:rPr>
          <w:lang w:val="nl-BE"/>
        </w:rPr>
        <w:t>zaak.</w:t>
      </w:r>
      <w:r w:rsidR="009B112A" w:rsidRPr="004E4270">
        <w:rPr>
          <w:lang w:val="nl-BE"/>
        </w:rPr>
        <w:t xml:space="preserve"> </w:t>
      </w:r>
    </w:p>
    <w:p w14:paraId="045CCDC1" w14:textId="1272FEC7" w:rsidR="009B112A" w:rsidRPr="0069784D" w:rsidRDefault="009B112A" w:rsidP="009C15CF">
      <w:pPr>
        <w:jc w:val="both"/>
        <w:rPr>
          <w:color w:val="000000"/>
          <w:lang w:val="nl-BE"/>
        </w:rPr>
      </w:pPr>
      <w:r w:rsidRPr="0069784D">
        <w:rPr>
          <w:color w:val="000000"/>
          <w:lang w:val="nl-BE"/>
        </w:rPr>
        <w:t>Het is vanzelfsprekend niet aangewezen om gedrag</w:t>
      </w:r>
      <w:r w:rsidR="00BE243E" w:rsidRPr="0069784D">
        <w:rPr>
          <w:color w:val="000000"/>
          <w:lang w:val="nl-BE"/>
        </w:rPr>
        <w:t>ing</w:t>
      </w:r>
      <w:r w:rsidRPr="0069784D">
        <w:rPr>
          <w:color w:val="000000"/>
          <w:lang w:val="nl-BE"/>
        </w:rPr>
        <w:t xml:space="preserve">en die </w:t>
      </w:r>
      <w:r w:rsidRPr="004E4270">
        <w:rPr>
          <w:lang w:val="nl-BE"/>
        </w:rPr>
        <w:t xml:space="preserve">deel </w:t>
      </w:r>
      <w:r w:rsidR="00761820" w:rsidRPr="004E4270">
        <w:rPr>
          <w:lang w:val="nl-BE"/>
        </w:rPr>
        <w:t xml:space="preserve">uitmaken </w:t>
      </w:r>
      <w:r w:rsidRPr="004E4270">
        <w:rPr>
          <w:lang w:val="nl-BE"/>
        </w:rPr>
        <w:t xml:space="preserve">van het </w:t>
      </w:r>
      <w:r w:rsidRPr="0069784D">
        <w:rPr>
          <w:color w:val="000000"/>
          <w:lang w:val="nl-BE"/>
        </w:rPr>
        <w:t xml:space="preserve">dagelijks leven op een onredelijke manier strafbaar te stellen. </w:t>
      </w:r>
    </w:p>
    <w:p w14:paraId="774E1510" w14:textId="60A4E398" w:rsidR="009B112A" w:rsidRPr="0069784D" w:rsidRDefault="009B112A" w:rsidP="009C15CF">
      <w:pPr>
        <w:jc w:val="both"/>
        <w:rPr>
          <w:color w:val="000000"/>
          <w:lang w:val="nl-BE"/>
        </w:rPr>
      </w:pPr>
      <w:r w:rsidRPr="004E4270">
        <w:rPr>
          <w:lang w:val="nl-BE"/>
        </w:rPr>
        <w:t xml:space="preserve">Desalniettemin kan de vraag gesteld worden of dergelijke handelingen in bepaalde gevallen </w:t>
      </w:r>
      <w:r w:rsidR="00761820" w:rsidRPr="004E4270">
        <w:rPr>
          <w:lang w:val="nl-BE"/>
        </w:rPr>
        <w:t xml:space="preserve">en afhankelijk van de precieze context toch </w:t>
      </w:r>
      <w:r w:rsidRPr="004E4270">
        <w:rPr>
          <w:lang w:val="nl-BE"/>
        </w:rPr>
        <w:t xml:space="preserve">niet als voyeurisme gekwalificeerd zouden kunnen worden, wanneer dit gebeurt met seksuele </w:t>
      </w:r>
      <w:r w:rsidRPr="0069784D">
        <w:rPr>
          <w:color w:val="000000"/>
          <w:lang w:val="nl-BE"/>
        </w:rPr>
        <w:t>bedoelingen</w:t>
      </w:r>
      <w:r w:rsidR="004E596B" w:rsidRPr="0069784D">
        <w:rPr>
          <w:color w:val="000000"/>
          <w:lang w:val="nl-BE"/>
        </w:rPr>
        <w:t xml:space="preserve"> dan wel</w:t>
      </w:r>
      <w:r w:rsidRPr="0069784D">
        <w:rPr>
          <w:color w:val="000000"/>
          <w:lang w:val="nl-BE"/>
        </w:rPr>
        <w:t xml:space="preserve"> door een redelijk persoon als een aantasting van zijn of haar seksuele integriteit beschouwd wordt? </w:t>
      </w:r>
    </w:p>
    <w:p w14:paraId="098B109C" w14:textId="650EB8D7" w:rsidR="009B112A" w:rsidRPr="0069784D" w:rsidRDefault="009B112A" w:rsidP="009C15CF">
      <w:pPr>
        <w:jc w:val="both"/>
        <w:rPr>
          <w:color w:val="000000"/>
          <w:lang w:val="nl-BE"/>
        </w:rPr>
      </w:pPr>
      <w:r w:rsidRPr="0069784D">
        <w:rPr>
          <w:color w:val="000000"/>
          <w:lang w:val="nl-BE"/>
        </w:rPr>
        <w:t xml:space="preserve">Het </w:t>
      </w:r>
      <w:r w:rsidR="00BE243E" w:rsidRPr="0069784D">
        <w:rPr>
          <w:color w:val="000000"/>
          <w:lang w:val="nl-BE"/>
        </w:rPr>
        <w:t xml:space="preserve">is </w:t>
      </w:r>
      <w:r w:rsidRPr="0069784D">
        <w:rPr>
          <w:color w:val="000000"/>
          <w:lang w:val="nl-BE"/>
        </w:rPr>
        <w:t>de rechter ten gronde die dit geval per geval zal dienen te beoordelen.</w:t>
      </w:r>
    </w:p>
    <w:p w14:paraId="3708E5A6" w14:textId="19D95B1E" w:rsidR="009B112A" w:rsidRPr="0069784D" w:rsidRDefault="009B112A" w:rsidP="009C15CF">
      <w:pPr>
        <w:jc w:val="both"/>
        <w:rPr>
          <w:color w:val="000000"/>
          <w:lang w:val="nl-BE"/>
        </w:rPr>
      </w:pPr>
      <w:r w:rsidRPr="0069784D">
        <w:rPr>
          <w:color w:val="000000"/>
          <w:lang w:val="nl-BE"/>
        </w:rPr>
        <w:t>Er kan hiervoor verwezen worden naar het criterium van de “logica” uit de memorie van toelichting, en naar de “redelijke” beoordeling</w:t>
      </w:r>
      <w:r w:rsidR="006D0973" w:rsidRPr="0069784D">
        <w:rPr>
          <w:rStyle w:val="FootnoteReference"/>
          <w:color w:val="000000"/>
          <w:lang w:val="nl-BE"/>
        </w:rPr>
        <w:footnoteReference w:customMarkFollows="1" w:id="41"/>
        <w:t>41</w:t>
      </w:r>
      <w:r w:rsidRPr="0069784D">
        <w:rPr>
          <w:color w:val="000000"/>
          <w:lang w:val="nl-BE"/>
        </w:rPr>
        <w:t>.</w:t>
      </w:r>
    </w:p>
    <w:p w14:paraId="6B5ED4E3" w14:textId="3E1B84C8" w:rsidR="009B112A" w:rsidRPr="0069784D" w:rsidRDefault="009B112A" w:rsidP="009C15CF">
      <w:pPr>
        <w:jc w:val="both"/>
        <w:rPr>
          <w:color w:val="000000"/>
          <w:lang w:val="nl-BE"/>
        </w:rPr>
      </w:pPr>
      <w:r w:rsidRPr="0069784D">
        <w:rPr>
          <w:color w:val="000000"/>
          <w:lang w:val="nl-BE"/>
        </w:rPr>
        <w:t>De expliciete verwijzing naar de seksuele integriteit in de definitie ‘ontblote persoon’ herinnert eraan dat het de wetgever uitsluitend te doen is om bepaalde seksuele handelingen strafbaar te stellen, en om</w:t>
      </w:r>
      <w:r w:rsidRPr="004E4270">
        <w:rPr>
          <w:lang w:val="nl-BE"/>
        </w:rPr>
        <w:t xml:space="preserve">, </w:t>
      </w:r>
      <w:r w:rsidR="00F533D1" w:rsidRPr="004E4270">
        <w:rPr>
          <w:lang w:val="nl-BE"/>
        </w:rPr>
        <w:t xml:space="preserve">bv. de persoon die een foto neemt </w:t>
      </w:r>
      <w:r w:rsidRPr="004E4270">
        <w:rPr>
          <w:lang w:val="nl-BE"/>
        </w:rPr>
        <w:t xml:space="preserve">van een persoon die zich van een </w:t>
      </w:r>
      <w:r w:rsidRPr="004E4270">
        <w:rPr>
          <w:b/>
          <w:bCs/>
          <w:lang w:val="nl-BE"/>
        </w:rPr>
        <w:t>religieuze hoofddoek</w:t>
      </w:r>
      <w:r w:rsidRPr="004E4270">
        <w:rPr>
          <w:lang w:val="nl-BE"/>
        </w:rPr>
        <w:t xml:space="preserve"> ontdoet</w:t>
      </w:r>
      <w:r w:rsidR="00BE243E" w:rsidRPr="004E4270">
        <w:rPr>
          <w:lang w:val="nl-BE"/>
        </w:rPr>
        <w:t>,</w:t>
      </w:r>
      <w:r w:rsidRPr="004E4270">
        <w:rPr>
          <w:lang w:val="nl-BE"/>
        </w:rPr>
        <w:t xml:space="preserve"> van de strafbaarstelling </w:t>
      </w:r>
      <w:r w:rsidR="00405FDB" w:rsidRPr="004E4270">
        <w:rPr>
          <w:lang w:val="nl-BE"/>
        </w:rPr>
        <w:t>‘</w:t>
      </w:r>
      <w:r w:rsidRPr="004E4270">
        <w:rPr>
          <w:lang w:val="nl-BE"/>
        </w:rPr>
        <w:t>voyeurisme</w:t>
      </w:r>
      <w:r w:rsidR="00405FDB" w:rsidRPr="004E4270">
        <w:rPr>
          <w:lang w:val="nl-BE"/>
        </w:rPr>
        <w:t>’</w:t>
      </w:r>
      <w:r w:rsidRPr="004E4270">
        <w:rPr>
          <w:lang w:val="nl-BE"/>
        </w:rPr>
        <w:t xml:space="preserve"> uit te sluiten</w:t>
      </w:r>
      <w:r w:rsidR="006D0973" w:rsidRPr="004E4270">
        <w:rPr>
          <w:rStyle w:val="FootnoteReference"/>
          <w:lang w:val="nl-BE"/>
        </w:rPr>
        <w:footnoteReference w:customMarkFollows="1" w:id="42"/>
        <w:t>42</w:t>
      </w:r>
      <w:r w:rsidRPr="004E4270">
        <w:rPr>
          <w:lang w:val="nl-BE"/>
        </w:rPr>
        <w:t>.</w:t>
      </w:r>
      <w:r w:rsidRPr="004E4270">
        <w:rPr>
          <w:b/>
          <w:lang w:val="nl-BE"/>
        </w:rPr>
        <w:t xml:space="preserve"> </w:t>
      </w:r>
    </w:p>
    <w:p w14:paraId="301A0286" w14:textId="1CBBC6DC" w:rsidR="009B112A" w:rsidRPr="0069784D" w:rsidRDefault="009B112A" w:rsidP="009C15CF">
      <w:pPr>
        <w:jc w:val="both"/>
        <w:rPr>
          <w:color w:val="000000"/>
          <w:lang w:val="nl-BE"/>
        </w:rPr>
      </w:pPr>
      <w:r w:rsidRPr="0069784D">
        <w:rPr>
          <w:color w:val="000000"/>
          <w:lang w:val="nl-BE"/>
        </w:rPr>
        <w:t xml:space="preserve">De wetgever preciseert verder dat </w:t>
      </w:r>
      <w:r w:rsidRPr="0069784D">
        <w:rPr>
          <w:b/>
          <w:bCs/>
          <w:color w:val="000000"/>
          <w:lang w:val="nl-BE"/>
        </w:rPr>
        <w:t>gedeeltelijke</w:t>
      </w:r>
      <w:r w:rsidRPr="0069784D">
        <w:rPr>
          <w:color w:val="000000"/>
          <w:lang w:val="nl-BE"/>
        </w:rPr>
        <w:t xml:space="preserve"> </w:t>
      </w:r>
      <w:r w:rsidRPr="0069784D">
        <w:rPr>
          <w:b/>
          <w:i/>
          <w:iCs/>
          <w:color w:val="000000"/>
          <w:lang w:val="nl-BE"/>
        </w:rPr>
        <w:t>deepnudes</w:t>
      </w:r>
      <w:r w:rsidRPr="0069784D">
        <w:rPr>
          <w:b/>
          <w:color w:val="000000"/>
          <w:lang w:val="nl-BE"/>
        </w:rPr>
        <w:t xml:space="preserve"> of </w:t>
      </w:r>
      <w:r w:rsidRPr="0069784D">
        <w:rPr>
          <w:b/>
          <w:i/>
          <w:iCs/>
          <w:color w:val="000000"/>
          <w:lang w:val="nl-BE"/>
        </w:rPr>
        <w:t>deepfakes</w:t>
      </w:r>
      <w:r w:rsidRPr="0069784D">
        <w:rPr>
          <w:color w:val="000000"/>
          <w:lang w:val="nl-BE"/>
        </w:rPr>
        <w:t xml:space="preserve">, zijnde beelden die gedeeltelijk via informaticatools gemanipuleerd werden, onder voyeurisme zouden kunnen vallen, terwijl </w:t>
      </w:r>
      <w:r w:rsidRPr="0069784D">
        <w:rPr>
          <w:b/>
          <w:bCs/>
          <w:color w:val="000000"/>
          <w:lang w:val="nl-BE"/>
        </w:rPr>
        <w:t>volledige</w:t>
      </w:r>
      <w:r w:rsidRPr="0069784D">
        <w:rPr>
          <w:color w:val="000000"/>
          <w:lang w:val="nl-BE"/>
        </w:rPr>
        <w:t xml:space="preserve"> </w:t>
      </w:r>
      <w:r w:rsidRPr="0069784D">
        <w:rPr>
          <w:b/>
          <w:i/>
          <w:iCs/>
          <w:color w:val="000000"/>
          <w:lang w:val="nl-BE"/>
        </w:rPr>
        <w:t>deepnudes</w:t>
      </w:r>
      <w:r w:rsidRPr="0069784D">
        <w:rPr>
          <w:b/>
          <w:color w:val="000000"/>
          <w:lang w:val="nl-BE"/>
        </w:rPr>
        <w:t xml:space="preserve"> of </w:t>
      </w:r>
      <w:r w:rsidRPr="0069784D">
        <w:rPr>
          <w:b/>
          <w:i/>
          <w:iCs/>
          <w:color w:val="000000"/>
          <w:lang w:val="nl-BE"/>
        </w:rPr>
        <w:t>deepfakes</w:t>
      </w:r>
      <w:r w:rsidRPr="0069784D">
        <w:rPr>
          <w:color w:val="000000"/>
          <w:lang w:val="nl-BE"/>
        </w:rPr>
        <w:t xml:space="preserve">, zijnde beelden die volledig via informaticatools </w:t>
      </w:r>
      <w:r w:rsidRPr="0069784D">
        <w:rPr>
          <w:color w:val="000000"/>
          <w:lang w:val="nl-BE"/>
        </w:rPr>
        <w:lastRenderedPageBreak/>
        <w:t xml:space="preserve">gemanipuleerd werden, </w:t>
      </w:r>
      <w:r w:rsidR="004E596B" w:rsidRPr="0069784D">
        <w:rPr>
          <w:color w:val="000000"/>
          <w:lang w:val="nl-BE"/>
        </w:rPr>
        <w:t xml:space="preserve">hier </w:t>
      </w:r>
      <w:r w:rsidRPr="0069784D">
        <w:rPr>
          <w:color w:val="000000"/>
          <w:lang w:val="nl-BE"/>
        </w:rPr>
        <w:t xml:space="preserve">niet onder vallen, </w:t>
      </w:r>
      <w:r w:rsidRPr="004E4270">
        <w:rPr>
          <w:lang w:val="nl-BE"/>
        </w:rPr>
        <w:t xml:space="preserve">aangezien </w:t>
      </w:r>
      <w:r w:rsidR="00F533D1" w:rsidRPr="004E4270">
        <w:rPr>
          <w:lang w:val="nl-BE"/>
        </w:rPr>
        <w:t xml:space="preserve">de inbreuk voyeurisme </w:t>
      </w:r>
      <w:r w:rsidRPr="0069784D">
        <w:rPr>
          <w:i/>
          <w:iCs/>
          <w:color w:val="000000"/>
          <w:lang w:val="nl-BE"/>
        </w:rPr>
        <w:t>“</w:t>
      </w:r>
      <w:r w:rsidRPr="0069784D">
        <w:rPr>
          <w:i/>
          <w:iCs/>
          <w:lang w:val="nl-BE"/>
        </w:rPr>
        <w:t>gekoppeld wordt aan de toestemming van een bepaald persoon”</w:t>
      </w:r>
      <w:r w:rsidR="006D0973" w:rsidRPr="0069784D">
        <w:rPr>
          <w:rStyle w:val="FootnoteReference"/>
          <w:color w:val="000000"/>
          <w:lang w:val="nl-BE"/>
        </w:rPr>
        <w:footnoteReference w:customMarkFollows="1" w:id="43"/>
        <w:t>43</w:t>
      </w:r>
      <w:r w:rsidRPr="0069784D">
        <w:rPr>
          <w:color w:val="000000"/>
          <w:lang w:val="nl-BE"/>
        </w:rPr>
        <w:t>.</w:t>
      </w:r>
    </w:p>
    <w:p w14:paraId="0766F570" w14:textId="47821F4B" w:rsidR="00D34618" w:rsidRPr="0069784D" w:rsidRDefault="009B112A" w:rsidP="009C15CF">
      <w:pPr>
        <w:jc w:val="both"/>
        <w:rPr>
          <w:color w:val="000000"/>
          <w:lang w:val="nl-BE"/>
        </w:rPr>
      </w:pPr>
      <w:r w:rsidRPr="0069784D">
        <w:rPr>
          <w:color w:val="000000"/>
          <w:lang w:val="nl-BE"/>
        </w:rPr>
        <w:t xml:space="preserve">Deze volledige </w:t>
      </w:r>
      <w:r w:rsidRPr="0069784D">
        <w:rPr>
          <w:i/>
          <w:iCs/>
          <w:color w:val="000000"/>
          <w:lang w:val="nl-BE"/>
        </w:rPr>
        <w:t xml:space="preserve">deepnudes </w:t>
      </w:r>
      <w:r w:rsidRPr="0069784D">
        <w:rPr>
          <w:color w:val="000000"/>
          <w:lang w:val="nl-BE"/>
        </w:rPr>
        <w:t xml:space="preserve">of </w:t>
      </w:r>
      <w:r w:rsidRPr="0069784D">
        <w:rPr>
          <w:i/>
          <w:iCs/>
          <w:color w:val="000000"/>
          <w:lang w:val="nl-BE"/>
        </w:rPr>
        <w:t>deepfakes</w:t>
      </w:r>
      <w:r w:rsidRPr="0069784D">
        <w:rPr>
          <w:color w:val="000000"/>
          <w:lang w:val="nl-BE"/>
        </w:rPr>
        <w:t xml:space="preserve"> kunnen daarentegen </w:t>
      </w:r>
      <w:r w:rsidR="00BE243E" w:rsidRPr="0069784D">
        <w:rPr>
          <w:color w:val="000000"/>
          <w:lang w:val="nl-BE"/>
        </w:rPr>
        <w:t>wel beschouwd worden als één van</w:t>
      </w:r>
      <w:r w:rsidRPr="0069784D">
        <w:rPr>
          <w:color w:val="000000"/>
          <w:lang w:val="nl-BE"/>
        </w:rPr>
        <w:t xml:space="preserve"> de misdrijven betreffende het verspreiden van beelden van seksueel misbruik van minderjarigen (artikel 417/43 e.v.)</w:t>
      </w:r>
      <w:r w:rsidR="00D34618" w:rsidRPr="0069784D">
        <w:rPr>
          <w:color w:val="000000"/>
          <w:lang w:val="nl-BE"/>
        </w:rPr>
        <w:t>.</w:t>
      </w:r>
    </w:p>
    <w:p w14:paraId="3526F971" w14:textId="77777777" w:rsidR="00044D70" w:rsidRPr="0069784D" w:rsidRDefault="00044D70" w:rsidP="009C15CF">
      <w:pPr>
        <w:jc w:val="both"/>
        <w:rPr>
          <w:color w:val="000000"/>
          <w:lang w:val="nl-BE"/>
        </w:rPr>
      </w:pPr>
    </w:p>
    <w:p w14:paraId="263AB835" w14:textId="77777777" w:rsidR="009B112A" w:rsidRPr="0069784D" w:rsidRDefault="009B112A" w:rsidP="009C15CF">
      <w:pPr>
        <w:jc w:val="both"/>
        <w:rPr>
          <w:bCs/>
          <w:sz w:val="32"/>
          <w:szCs w:val="32"/>
          <w:lang w:val="nl-BE"/>
        </w:rPr>
      </w:pPr>
      <w:r w:rsidRPr="0069784D">
        <w:rPr>
          <w:bCs/>
          <w:color w:val="000000"/>
          <w:sz w:val="32"/>
          <w:szCs w:val="32"/>
          <w:lang w:val="nl-BE"/>
        </w:rPr>
        <w:t>Artikel 417/9 - N</w:t>
      </w:r>
      <w:r w:rsidRPr="0069784D">
        <w:rPr>
          <w:bCs/>
          <w:sz w:val="32"/>
          <w:szCs w:val="32"/>
          <w:lang w:val="nl-BE"/>
        </w:rPr>
        <w:t>iet-consensuele verspreiding van seksueel getinte inhoud</w:t>
      </w:r>
    </w:p>
    <w:p w14:paraId="35B98340" w14:textId="77777777" w:rsidR="009B112A" w:rsidRPr="0069784D" w:rsidRDefault="009B112A" w:rsidP="009C15CF">
      <w:pPr>
        <w:jc w:val="both"/>
        <w:rPr>
          <w:bCs/>
          <w:color w:val="000000"/>
          <w:lang w:val="nl-BE"/>
        </w:rPr>
      </w:pPr>
    </w:p>
    <w:p w14:paraId="28ECF85B"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Niet-consensuele verspreiding van seksueel getinte inhoud is het tonen, toegankelijk maken of verspreiden van visuele of geluidsinhoud van een ontblote persoon of een persoon die een expliciete seksuele daad stelt zonder diens toestemming of buiten diens medeweten, ook al heeft die persoon ingestemd met het maken ervan.</w:t>
      </w:r>
    </w:p>
    <w:p w14:paraId="26008730"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 xml:space="preserve">Dit misdrijf wordt bestraft met </w:t>
      </w:r>
      <w:r w:rsidRPr="0069784D">
        <w:rPr>
          <w:b/>
          <w:bCs/>
          <w:color w:val="000000"/>
          <w:lang w:val="nl-BE"/>
        </w:rPr>
        <w:t>gevangenisstraf van zes maanden tot vijf jaar</w:t>
      </w:r>
      <w:r w:rsidRPr="0069784D">
        <w:rPr>
          <w:color w:val="000000"/>
          <w:lang w:val="nl-BE"/>
        </w:rPr>
        <w:t>.</w:t>
      </w:r>
    </w:p>
    <w:p w14:paraId="7D4F04E4"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rFonts w:cstheme="minorHAnsi"/>
          <w:lang w:val="nl-BE"/>
        </w:rPr>
      </w:pPr>
      <w:r w:rsidRPr="0069784D">
        <w:rPr>
          <w:color w:val="000000"/>
          <w:lang w:val="nl-BE"/>
        </w:rPr>
        <w:t>Niet-consensuele verspreiding van seksueel getinte inhoud bestaat, zodra er begin van uitvoering is.</w:t>
      </w:r>
    </w:p>
    <w:p w14:paraId="5B7B9178" w14:textId="77777777" w:rsidR="009B112A" w:rsidRPr="0069784D" w:rsidRDefault="009B112A" w:rsidP="009C15CF">
      <w:pPr>
        <w:jc w:val="both"/>
        <w:rPr>
          <w:rFonts w:cstheme="minorHAnsi"/>
          <w:u w:val="single"/>
          <w:lang w:val="nl-BE"/>
        </w:rPr>
      </w:pPr>
    </w:p>
    <w:p w14:paraId="2E887F23" w14:textId="3E9AAF9A" w:rsidR="009B112A" w:rsidRPr="0069784D" w:rsidRDefault="009B112A" w:rsidP="009C15CF">
      <w:pPr>
        <w:jc w:val="both"/>
        <w:rPr>
          <w:rFonts w:cstheme="minorHAnsi"/>
          <w:lang w:val="nl-BE"/>
        </w:rPr>
      </w:pPr>
      <w:r w:rsidRPr="0069784D">
        <w:rPr>
          <w:rFonts w:cstheme="minorHAnsi"/>
          <w:lang w:val="nl-BE"/>
        </w:rPr>
        <w:t xml:space="preserve">Hoewel de wetgever in de memorie van toelichting aankondigt </w:t>
      </w:r>
      <w:r w:rsidRPr="004E4270">
        <w:rPr>
          <w:rFonts w:cstheme="minorHAnsi"/>
          <w:lang w:val="nl-BE"/>
        </w:rPr>
        <w:t xml:space="preserve">dat </w:t>
      </w:r>
      <w:r w:rsidR="001513B9" w:rsidRPr="004E4270">
        <w:rPr>
          <w:rFonts w:cstheme="minorHAnsi"/>
          <w:lang w:val="nl-BE"/>
        </w:rPr>
        <w:t xml:space="preserve">er </w:t>
      </w:r>
      <w:r w:rsidRPr="004E4270">
        <w:rPr>
          <w:rFonts w:cstheme="minorHAnsi"/>
          <w:lang w:val="nl-BE"/>
        </w:rPr>
        <w:t xml:space="preserve">niets </w:t>
      </w:r>
      <w:r w:rsidRPr="0069784D">
        <w:rPr>
          <w:rFonts w:cstheme="minorHAnsi"/>
          <w:lang w:val="nl-BE"/>
        </w:rPr>
        <w:t>gewijzigd werd aan het toepassingsgebied van dit recent in het Strafwetb</w:t>
      </w:r>
      <w:r w:rsidRPr="004E4270">
        <w:rPr>
          <w:rFonts w:cstheme="minorHAnsi"/>
          <w:lang w:val="nl-BE"/>
        </w:rPr>
        <w:t xml:space="preserve">oek ingevoerde misdrijf, </w:t>
      </w:r>
      <w:r w:rsidR="001513B9" w:rsidRPr="004E4270">
        <w:rPr>
          <w:rFonts w:cstheme="minorHAnsi"/>
          <w:lang w:val="nl-BE"/>
        </w:rPr>
        <w:t>dient</w:t>
      </w:r>
      <w:r w:rsidRPr="004E4270">
        <w:rPr>
          <w:rFonts w:cstheme="minorHAnsi"/>
          <w:lang w:val="nl-BE"/>
        </w:rPr>
        <w:t xml:space="preserve"> </w:t>
      </w:r>
      <w:r w:rsidR="001513B9" w:rsidRPr="004E4270">
        <w:rPr>
          <w:rFonts w:cstheme="minorHAnsi"/>
          <w:lang w:val="nl-BE"/>
        </w:rPr>
        <w:t xml:space="preserve">te worden </w:t>
      </w:r>
      <w:r w:rsidRPr="004E4270">
        <w:rPr>
          <w:rFonts w:cstheme="minorHAnsi"/>
          <w:lang w:val="nl-BE"/>
        </w:rPr>
        <w:t xml:space="preserve">vastgesteld dat het onweerlegbaar vermoeden van niet-toestemming door de minderjarige (ongeacht diens leeftijd), </w:t>
      </w:r>
      <w:r w:rsidR="001513B9" w:rsidRPr="004E4270">
        <w:rPr>
          <w:rFonts w:cstheme="minorHAnsi"/>
          <w:lang w:val="nl-BE"/>
        </w:rPr>
        <w:t>waar</w:t>
      </w:r>
      <w:r w:rsidRPr="004E4270">
        <w:rPr>
          <w:rFonts w:cstheme="minorHAnsi"/>
          <w:lang w:val="nl-BE"/>
        </w:rPr>
        <w:t xml:space="preserve">in artikel 371/1 §4 </w:t>
      </w:r>
      <w:r w:rsidR="001513B9" w:rsidRPr="004E4270">
        <w:rPr>
          <w:rFonts w:cstheme="minorHAnsi"/>
          <w:lang w:val="nl-BE"/>
        </w:rPr>
        <w:t>voorzag</w:t>
      </w:r>
      <w:r w:rsidRPr="004E4270">
        <w:rPr>
          <w:rFonts w:cstheme="minorHAnsi"/>
          <w:lang w:val="nl-BE"/>
        </w:rPr>
        <w:t>, geschrapt werd.</w:t>
      </w:r>
    </w:p>
    <w:p w14:paraId="458233B0" w14:textId="77777777" w:rsidR="009B112A" w:rsidRPr="0069784D" w:rsidRDefault="009B112A" w:rsidP="009C15CF">
      <w:pPr>
        <w:jc w:val="both"/>
        <w:rPr>
          <w:rFonts w:cstheme="minorHAnsi"/>
          <w:lang w:val="nl-BE"/>
        </w:rPr>
      </w:pPr>
      <w:r w:rsidRPr="0069784D">
        <w:rPr>
          <w:rFonts w:cstheme="minorHAnsi"/>
          <w:lang w:val="nl-BE"/>
        </w:rPr>
        <w:t xml:space="preserve">Deze schrapping </w:t>
      </w:r>
      <w:r w:rsidRPr="0069784D">
        <w:rPr>
          <w:rFonts w:cstheme="minorHAnsi"/>
          <w:b/>
          <w:bCs/>
          <w:lang w:val="nl-BE"/>
        </w:rPr>
        <w:t>dient samen gelezen te worden met de bepalingen betreffende de beelden van seksueel misbruik en de rechtsvaardigheidsgrond die in artikel 417/49 ingevoerd werd.</w:t>
      </w:r>
    </w:p>
    <w:p w14:paraId="2F05B5D7" w14:textId="377F9707" w:rsidR="009B112A" w:rsidRPr="0069784D" w:rsidRDefault="009B112A" w:rsidP="009C15CF">
      <w:pPr>
        <w:jc w:val="both"/>
        <w:rPr>
          <w:lang w:val="nl-BE"/>
        </w:rPr>
      </w:pPr>
      <w:r w:rsidRPr="0069784D">
        <w:rPr>
          <w:rFonts w:cstheme="minorHAnsi"/>
          <w:lang w:val="nl-BE"/>
        </w:rPr>
        <w:t xml:space="preserve">In de memorie van toelichting wordt dit als volgt toegelicht: </w:t>
      </w:r>
      <w:r w:rsidRPr="0069784D">
        <w:rPr>
          <w:rFonts w:cstheme="minorHAnsi"/>
          <w:i/>
          <w:iCs/>
          <w:lang w:val="nl-BE"/>
        </w:rPr>
        <w:t>“</w:t>
      </w:r>
      <w:r w:rsidRPr="0069784D">
        <w:rPr>
          <w:i/>
          <w:iCs/>
          <w:lang w:val="nl-BE"/>
        </w:rPr>
        <w:t>Aan het toepassingsgebied van de niet-consensuele verspreiding van seksueel getinte beelden en opnames werd niets gewijzigd, gelet op de recente datum van de wet. De indieners van dit ontwerp leggen evenwel de nadruk op de strafbepalingen inzake de beelden van seksueel misbruik van minderjarigen. In geen geval kan een minderjarige toestemming geven tot het verspreiden van seksuele beelden, tenzij onder de strikte voorwaarden zoals omschreven in de rechtvaardigingsgrond van artikel 417/49 (zie infra). Deze rechtvaardigingsgrond wordt specifiek in het leven geroepen om de loutere primaire sexting tussen peers mogelijk te maken en aldus meer rechtszekerheid te verschaffen aan jongeren die dit seksueel experimenteergedrag vertonen.”</w:t>
      </w:r>
      <w:r w:rsidR="006D0973" w:rsidRPr="0069784D">
        <w:rPr>
          <w:rStyle w:val="FootnoteReference"/>
          <w:i/>
          <w:iCs/>
          <w:lang w:val="nl-BE"/>
        </w:rPr>
        <w:footnoteReference w:customMarkFollows="1" w:id="44"/>
        <w:t>44</w:t>
      </w:r>
      <w:r w:rsidRPr="0069784D">
        <w:rPr>
          <w:i/>
          <w:iCs/>
          <w:lang w:val="nl-BE"/>
        </w:rPr>
        <w:t>.</w:t>
      </w:r>
      <w:r w:rsidRPr="0069784D">
        <w:rPr>
          <w:i/>
          <w:lang w:val="nl-BE"/>
        </w:rPr>
        <w:t xml:space="preserve"> </w:t>
      </w:r>
      <w:r w:rsidRPr="0069784D">
        <w:rPr>
          <w:lang w:val="nl-BE"/>
        </w:rPr>
        <w:t xml:space="preserve">Dit lijkt geenszins in overeenstemming met de tekst van artikel 417/9, waarin niet </w:t>
      </w:r>
      <w:r w:rsidR="001513B9" w:rsidRPr="004E4270">
        <w:rPr>
          <w:lang w:val="nl-BE"/>
        </w:rPr>
        <w:t xml:space="preserve">wordt </w:t>
      </w:r>
      <w:r w:rsidRPr="004E4270">
        <w:rPr>
          <w:lang w:val="nl-BE"/>
        </w:rPr>
        <w:t xml:space="preserve">bepaald dat een minderjarige in geen enkel geval kan instemmen met de verspreiding van seksueel beeldmateriaal. </w:t>
      </w:r>
    </w:p>
    <w:p w14:paraId="091DB6DA" w14:textId="7CBA0070" w:rsidR="009B112A" w:rsidRPr="0069784D" w:rsidRDefault="009B112A" w:rsidP="009C15CF">
      <w:pPr>
        <w:jc w:val="both"/>
        <w:rPr>
          <w:rFonts w:cstheme="minorHAnsi"/>
          <w:lang w:val="nl-BE"/>
        </w:rPr>
      </w:pPr>
      <w:r w:rsidRPr="0069784D">
        <w:rPr>
          <w:rFonts w:cstheme="minorHAnsi"/>
          <w:lang w:val="nl-BE"/>
        </w:rPr>
        <w:lastRenderedPageBreak/>
        <w:t>Zelfs al is er niet langer sprake van een onweerlegbaar vermoeden van niet-toestemming door de minderjarige met de verspreiding van seksueel getinte beelden, toch lijken de artikelen 417/43 tot 49 voldoende waarborgen te bieden om het vervaardigen, verspreiden, bezitten en bekijken van dergelijke beelden te bestraffen</w:t>
      </w:r>
      <w:r w:rsidR="006D0973" w:rsidRPr="0069784D">
        <w:rPr>
          <w:rStyle w:val="FootnoteReference"/>
          <w:rFonts w:cstheme="minorHAnsi"/>
          <w:lang w:val="nl-BE"/>
        </w:rPr>
        <w:footnoteReference w:customMarkFollows="1" w:id="45"/>
        <w:t>45</w:t>
      </w:r>
      <w:r w:rsidRPr="0069784D">
        <w:rPr>
          <w:rFonts w:cstheme="minorHAnsi"/>
          <w:lang w:val="nl-BE"/>
        </w:rPr>
        <w:t xml:space="preserve">, zij het met uitzondering van de wederzijdse </w:t>
      </w:r>
      <w:r w:rsidR="00405FDB" w:rsidRPr="0069784D">
        <w:rPr>
          <w:rFonts w:cstheme="minorHAnsi"/>
          <w:lang w:val="nl-BE"/>
        </w:rPr>
        <w:t>uitwisseling</w:t>
      </w:r>
      <w:r w:rsidRPr="0069784D">
        <w:rPr>
          <w:rFonts w:cstheme="minorHAnsi"/>
          <w:lang w:val="nl-BE"/>
        </w:rPr>
        <w:t xml:space="preserve"> van seksueel getinte inhoud tussen minderjarigen ouder dan 16 jaar die hiermee instemmen. </w:t>
      </w:r>
    </w:p>
    <w:p w14:paraId="53FC7015" w14:textId="34D1CB0C" w:rsidR="009B112A" w:rsidRPr="0069784D" w:rsidRDefault="009B112A" w:rsidP="009C15CF">
      <w:pPr>
        <w:pStyle w:val="FootnoteText"/>
        <w:spacing w:line="276" w:lineRule="auto"/>
        <w:jc w:val="both"/>
        <w:rPr>
          <w:rFonts w:cstheme="minorHAnsi"/>
          <w:b/>
          <w:sz w:val="22"/>
          <w:szCs w:val="22"/>
          <w:lang w:val="nl-BE"/>
        </w:rPr>
      </w:pPr>
      <w:r w:rsidRPr="0069784D">
        <w:rPr>
          <w:rFonts w:cstheme="minorHAnsi"/>
          <w:b/>
          <w:sz w:val="22"/>
          <w:szCs w:val="22"/>
          <w:lang w:val="nl-BE"/>
        </w:rPr>
        <w:t xml:space="preserve">De </w:t>
      </w:r>
      <w:r w:rsidRPr="0069784D">
        <w:rPr>
          <w:b/>
          <w:bCs/>
          <w:color w:val="000000"/>
          <w:sz w:val="22"/>
          <w:szCs w:val="22"/>
          <w:lang w:val="nl-BE"/>
        </w:rPr>
        <w:t xml:space="preserve">weigering </w:t>
      </w:r>
      <w:r w:rsidRPr="004E4270">
        <w:rPr>
          <w:b/>
          <w:bCs/>
          <w:sz w:val="22"/>
          <w:szCs w:val="22"/>
          <w:lang w:val="nl-BE"/>
        </w:rPr>
        <w:t xml:space="preserve">tot </w:t>
      </w:r>
      <w:r w:rsidR="001513B9" w:rsidRPr="004E4270">
        <w:rPr>
          <w:b/>
          <w:bCs/>
          <w:sz w:val="22"/>
          <w:szCs w:val="22"/>
          <w:lang w:val="nl-BE"/>
        </w:rPr>
        <w:t xml:space="preserve">het verlenen </w:t>
      </w:r>
      <w:r w:rsidRPr="004E4270">
        <w:rPr>
          <w:b/>
          <w:bCs/>
          <w:sz w:val="22"/>
          <w:szCs w:val="22"/>
          <w:lang w:val="nl-BE"/>
        </w:rPr>
        <w:t xml:space="preserve">van technische </w:t>
      </w:r>
      <w:r w:rsidRPr="0069784D">
        <w:rPr>
          <w:b/>
          <w:bCs/>
          <w:color w:val="000000"/>
          <w:sz w:val="22"/>
          <w:szCs w:val="22"/>
          <w:lang w:val="nl-BE"/>
        </w:rPr>
        <w:t>medewerking aan de verwijdering van bepaalde seksueel getinte en extreem pornografische en gewelddadige beelden</w:t>
      </w:r>
      <w:r w:rsidRPr="0069784D">
        <w:rPr>
          <w:rFonts w:cstheme="minorHAnsi"/>
          <w:b/>
          <w:sz w:val="22"/>
          <w:szCs w:val="22"/>
          <w:lang w:val="nl-BE"/>
        </w:rPr>
        <w:t xml:space="preserve"> (vroeger</w:t>
      </w:r>
      <w:r w:rsidR="004E596B" w:rsidRPr="0069784D">
        <w:rPr>
          <w:rFonts w:cstheme="minorHAnsi"/>
          <w:b/>
          <w:sz w:val="22"/>
          <w:szCs w:val="22"/>
          <w:lang w:val="nl-BE"/>
        </w:rPr>
        <w:t>e</w:t>
      </w:r>
      <w:r w:rsidRPr="0069784D">
        <w:rPr>
          <w:rFonts w:cstheme="minorHAnsi"/>
          <w:b/>
          <w:sz w:val="22"/>
          <w:szCs w:val="22"/>
          <w:lang w:val="nl-BE"/>
        </w:rPr>
        <w:t xml:space="preserve"> artikel 371/3) komt aan bod in artikel 417/56 (zie infra).</w:t>
      </w:r>
    </w:p>
    <w:p w14:paraId="52FBC7D0" w14:textId="77777777" w:rsidR="006D0973" w:rsidRPr="0069784D" w:rsidRDefault="006D0973" w:rsidP="009C15CF">
      <w:pPr>
        <w:jc w:val="both"/>
        <w:rPr>
          <w:rFonts w:cstheme="minorHAnsi"/>
          <w:lang w:val="nl-BE"/>
        </w:rPr>
      </w:pPr>
    </w:p>
    <w:p w14:paraId="313BEE4A" w14:textId="77777777" w:rsidR="009B112A" w:rsidRPr="0069784D" w:rsidRDefault="009B112A" w:rsidP="009C15CF">
      <w:pPr>
        <w:jc w:val="both"/>
        <w:rPr>
          <w:bCs/>
          <w:color w:val="000000"/>
          <w:sz w:val="32"/>
          <w:szCs w:val="32"/>
          <w:lang w:val="nl-BE"/>
        </w:rPr>
      </w:pPr>
      <w:r w:rsidRPr="0069784D">
        <w:rPr>
          <w:bCs/>
          <w:color w:val="000000"/>
          <w:sz w:val="32"/>
          <w:szCs w:val="32"/>
          <w:lang w:val="nl-BE"/>
        </w:rPr>
        <w:t>Artikel 417/10 - Niet-consensuele verspreiding, met kwaadwillig opzet of uit winstbejag, van seksueel getinte inhoud</w:t>
      </w:r>
    </w:p>
    <w:p w14:paraId="633168E5" w14:textId="77777777" w:rsidR="009B112A" w:rsidRPr="0069784D" w:rsidRDefault="009B112A" w:rsidP="009C15CF">
      <w:pPr>
        <w:jc w:val="both"/>
        <w:rPr>
          <w:color w:val="000000"/>
          <w:lang w:val="nl-BE"/>
        </w:rPr>
      </w:pPr>
    </w:p>
    <w:p w14:paraId="7991F520"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Niet-consensuele verspreiding, met kwaadwillig opzet of uit winstbejag, van seksueel getinte inhoud is het met kwaadwillig opzet of uit winstbejag tonen, toegankelijk maken of verspreiden van visuele of geluidsinhoud van een ontblote persoon of een persoon die een expliciete seksuele daad stelt zonder diens toestemming of buiten diens medeweten, ook al heeft die persoon ingestemd met het maken ervan.</w:t>
      </w:r>
    </w:p>
    <w:p w14:paraId="6F75C7F4"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 xml:space="preserve">Dit misdrijf wordt bestraft met </w:t>
      </w:r>
      <w:r w:rsidRPr="0069784D">
        <w:rPr>
          <w:b/>
          <w:bCs/>
          <w:color w:val="000000"/>
          <w:lang w:val="nl-BE"/>
        </w:rPr>
        <w:t>gevangenisstraf van een jaar tot vijf jaar en met geldboete van tweehonderd euro tot tienduizend euro</w:t>
      </w:r>
      <w:r w:rsidRPr="0069784D">
        <w:rPr>
          <w:color w:val="000000"/>
          <w:lang w:val="nl-BE"/>
        </w:rPr>
        <w:t>.</w:t>
      </w:r>
    </w:p>
    <w:p w14:paraId="1484DB3F"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rFonts w:cstheme="minorHAnsi"/>
          <w:lang w:val="nl-BE"/>
        </w:rPr>
      </w:pPr>
      <w:r w:rsidRPr="0069784D">
        <w:rPr>
          <w:color w:val="000000"/>
          <w:lang w:val="nl-BE"/>
        </w:rPr>
        <w:t>Niet-consensuele verspreiding, met kwaadwillig opzet of uit winstbejag, van seksueel getinte inhoud bestaat, zodra er begin van uitvoering is.</w:t>
      </w:r>
    </w:p>
    <w:p w14:paraId="47DBC040" w14:textId="77777777" w:rsidR="009B112A" w:rsidRPr="0069784D" w:rsidRDefault="009B112A" w:rsidP="009C15CF">
      <w:pPr>
        <w:jc w:val="both"/>
        <w:rPr>
          <w:rFonts w:cstheme="minorHAnsi"/>
          <w:lang w:val="nl-BE"/>
        </w:rPr>
      </w:pPr>
      <w:r w:rsidRPr="0069784D">
        <w:rPr>
          <w:rFonts w:cstheme="minorHAnsi"/>
          <w:lang w:val="nl-BE"/>
        </w:rPr>
        <w:t xml:space="preserve">Dit misdrijf stemt overeen met de verzwarende omstandigheid uit het </w:t>
      </w:r>
      <w:r w:rsidRPr="0069784D">
        <w:rPr>
          <w:rFonts w:cstheme="minorHAnsi"/>
          <w:b/>
          <w:bCs/>
          <w:lang w:val="nl-BE"/>
        </w:rPr>
        <w:t>vroegere artikel</w:t>
      </w:r>
      <w:r w:rsidRPr="0069784D">
        <w:rPr>
          <w:rFonts w:cstheme="minorHAnsi"/>
          <w:lang w:val="nl-BE"/>
        </w:rPr>
        <w:t xml:space="preserve"> </w:t>
      </w:r>
      <w:r w:rsidRPr="0069784D">
        <w:rPr>
          <w:rFonts w:cstheme="minorHAnsi"/>
          <w:b/>
          <w:lang w:val="nl-BE"/>
        </w:rPr>
        <w:t>371/2 van het Strafwetboek.</w:t>
      </w:r>
    </w:p>
    <w:p w14:paraId="546B3236" w14:textId="6294FCD2" w:rsidR="009B112A" w:rsidRPr="0069784D" w:rsidRDefault="009B112A" w:rsidP="009C15CF">
      <w:pPr>
        <w:pStyle w:val="FootnoteText"/>
        <w:spacing w:line="276" w:lineRule="auto"/>
        <w:jc w:val="both"/>
        <w:rPr>
          <w:rFonts w:cstheme="minorHAnsi"/>
          <w:b/>
          <w:sz w:val="22"/>
          <w:szCs w:val="22"/>
          <w:lang w:val="nl-BE"/>
        </w:rPr>
      </w:pPr>
      <w:r w:rsidRPr="0069784D">
        <w:rPr>
          <w:rFonts w:cstheme="minorHAnsi"/>
          <w:b/>
          <w:sz w:val="22"/>
          <w:szCs w:val="22"/>
          <w:lang w:val="nl-BE"/>
        </w:rPr>
        <w:t xml:space="preserve">De </w:t>
      </w:r>
      <w:r w:rsidRPr="0069784D">
        <w:rPr>
          <w:b/>
          <w:bCs/>
          <w:color w:val="000000"/>
          <w:sz w:val="22"/>
          <w:szCs w:val="22"/>
          <w:lang w:val="nl-BE"/>
        </w:rPr>
        <w:t xml:space="preserve">weigering </w:t>
      </w:r>
      <w:r w:rsidRPr="004E4270">
        <w:rPr>
          <w:b/>
          <w:bCs/>
          <w:sz w:val="22"/>
          <w:szCs w:val="22"/>
          <w:lang w:val="nl-BE"/>
        </w:rPr>
        <w:t xml:space="preserve">tot </w:t>
      </w:r>
      <w:r w:rsidR="0053203E" w:rsidRPr="004E4270">
        <w:rPr>
          <w:b/>
          <w:bCs/>
          <w:sz w:val="22"/>
          <w:szCs w:val="22"/>
          <w:lang w:val="nl-BE"/>
        </w:rPr>
        <w:t xml:space="preserve">het verlenen </w:t>
      </w:r>
      <w:r w:rsidRPr="0069784D">
        <w:rPr>
          <w:b/>
          <w:bCs/>
          <w:color w:val="000000"/>
          <w:sz w:val="22"/>
          <w:szCs w:val="22"/>
          <w:lang w:val="nl-BE"/>
        </w:rPr>
        <w:t>van technische medewerking aan de verwijdering van bepaalde seksueel getinte en extreem pornografische en gewelddadige beelden</w:t>
      </w:r>
      <w:r w:rsidRPr="0069784D">
        <w:rPr>
          <w:rFonts w:cstheme="minorHAnsi"/>
          <w:b/>
          <w:sz w:val="22"/>
          <w:szCs w:val="22"/>
          <w:lang w:val="nl-BE"/>
        </w:rPr>
        <w:t xml:space="preserve"> (vroeger artikel 371/3) komt aan bod in artikel 417/56 (zie infra).</w:t>
      </w:r>
    </w:p>
    <w:p w14:paraId="2D2858D5" w14:textId="6EE4CE42" w:rsidR="00405FDB" w:rsidRDefault="00405FDB" w:rsidP="009C15CF">
      <w:pPr>
        <w:jc w:val="both"/>
        <w:rPr>
          <w:rFonts w:cstheme="minorHAnsi"/>
          <w:lang w:val="nl-BE"/>
        </w:rPr>
      </w:pPr>
    </w:p>
    <w:p w14:paraId="5AC9AC64" w14:textId="05E76042" w:rsidR="003C2CA9" w:rsidRDefault="003C2CA9" w:rsidP="009C15CF">
      <w:pPr>
        <w:jc w:val="both"/>
        <w:rPr>
          <w:rFonts w:cstheme="minorHAnsi"/>
          <w:lang w:val="nl-BE"/>
        </w:rPr>
      </w:pPr>
    </w:p>
    <w:p w14:paraId="186474FB" w14:textId="77777777" w:rsidR="003C2CA9" w:rsidRPr="0069784D" w:rsidRDefault="003C2CA9" w:rsidP="009C15CF">
      <w:pPr>
        <w:jc w:val="both"/>
        <w:rPr>
          <w:rFonts w:cstheme="minorHAnsi"/>
          <w:lang w:val="nl-BE"/>
        </w:rPr>
      </w:pPr>
    </w:p>
    <w:p w14:paraId="4A85474B" w14:textId="77777777" w:rsidR="009B112A" w:rsidRPr="0069784D" w:rsidRDefault="009B112A" w:rsidP="009C15CF">
      <w:pPr>
        <w:jc w:val="both"/>
        <w:rPr>
          <w:bCs/>
          <w:color w:val="000000"/>
          <w:sz w:val="32"/>
          <w:szCs w:val="32"/>
          <w:lang w:val="nl-BE"/>
        </w:rPr>
      </w:pPr>
      <w:r w:rsidRPr="0069784D">
        <w:rPr>
          <w:bCs/>
          <w:color w:val="000000"/>
          <w:sz w:val="32"/>
          <w:szCs w:val="32"/>
          <w:lang w:val="nl-BE"/>
        </w:rPr>
        <w:lastRenderedPageBreak/>
        <w:t>Artikel 417/11 - Verkrachting</w:t>
      </w:r>
    </w:p>
    <w:p w14:paraId="760CDC16" w14:textId="77777777" w:rsidR="009B112A" w:rsidRPr="0069784D" w:rsidRDefault="009B112A" w:rsidP="009C15CF">
      <w:pPr>
        <w:jc w:val="both"/>
        <w:rPr>
          <w:color w:val="000000"/>
          <w:lang w:val="nl-BE"/>
        </w:rPr>
      </w:pPr>
    </w:p>
    <w:p w14:paraId="66644202"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color w:val="000000"/>
          <w:lang w:val="nl-BE"/>
        </w:rPr>
      </w:pPr>
      <w:r w:rsidRPr="0069784D">
        <w:rPr>
          <w:color w:val="000000"/>
          <w:lang w:val="nl-BE"/>
        </w:rPr>
        <w:t>Verkrachting is elke gestelde daad die bestaat of mede bestaat uit een seksuele penetratie van welke aard en met welk middel ook, gepleegd op een persoon of met behulp van een persoon die daar niet in toestemt.</w:t>
      </w:r>
    </w:p>
    <w:p w14:paraId="2F45370C" w14:textId="77777777" w:rsidR="009B112A" w:rsidRPr="0069784D" w:rsidRDefault="009B112A" w:rsidP="009C15CF">
      <w:pPr>
        <w:pBdr>
          <w:top w:val="single" w:sz="4" w:space="1" w:color="auto"/>
          <w:left w:val="single" w:sz="4" w:space="4" w:color="auto"/>
          <w:bottom w:val="single" w:sz="4" w:space="1" w:color="auto"/>
          <w:right w:val="single" w:sz="4" w:space="4" w:color="auto"/>
        </w:pBdr>
        <w:jc w:val="both"/>
        <w:rPr>
          <w:rFonts w:cstheme="minorHAnsi"/>
          <w:lang w:val="nl-BE"/>
        </w:rPr>
      </w:pPr>
      <w:r w:rsidRPr="0069784D">
        <w:rPr>
          <w:color w:val="000000"/>
          <w:lang w:val="nl-BE"/>
        </w:rPr>
        <w:t xml:space="preserve">Dit misdrijf wordt bestraft met </w:t>
      </w:r>
      <w:r w:rsidRPr="0069784D">
        <w:rPr>
          <w:b/>
          <w:bCs/>
          <w:color w:val="000000"/>
          <w:lang w:val="nl-BE"/>
        </w:rPr>
        <w:t>opsluiting van tien jaar tot vijftien jaar</w:t>
      </w:r>
      <w:r w:rsidRPr="0069784D">
        <w:rPr>
          <w:color w:val="000000"/>
          <w:lang w:val="nl-BE"/>
        </w:rPr>
        <w:t>.</w:t>
      </w:r>
    </w:p>
    <w:p w14:paraId="0D5D858E" w14:textId="77777777" w:rsidR="009B112A" w:rsidRPr="0069784D" w:rsidRDefault="009B112A" w:rsidP="009C15CF">
      <w:pPr>
        <w:jc w:val="both"/>
        <w:rPr>
          <w:rFonts w:cstheme="minorHAnsi"/>
          <w:lang w:val="nl-BE"/>
        </w:rPr>
      </w:pPr>
    </w:p>
    <w:p w14:paraId="57D942EB" w14:textId="08B3E420" w:rsidR="009B112A" w:rsidRPr="0069784D" w:rsidRDefault="009B112A" w:rsidP="009C15CF">
      <w:pPr>
        <w:jc w:val="both"/>
        <w:rPr>
          <w:rFonts w:cstheme="minorHAnsi"/>
          <w:lang w:val="nl-BE"/>
        </w:rPr>
      </w:pPr>
      <w:r w:rsidRPr="0069784D">
        <w:rPr>
          <w:rFonts w:cstheme="minorHAnsi"/>
          <w:lang w:val="nl-BE"/>
        </w:rPr>
        <w:t xml:space="preserve">Het criterium dat een verkrachting van een aantasting van </w:t>
      </w:r>
      <w:r w:rsidRPr="004E4270">
        <w:rPr>
          <w:rFonts w:cstheme="minorHAnsi"/>
          <w:lang w:val="nl-BE"/>
        </w:rPr>
        <w:t xml:space="preserve">de </w:t>
      </w:r>
      <w:r w:rsidR="0053203E" w:rsidRPr="004E4270">
        <w:rPr>
          <w:rFonts w:cstheme="minorHAnsi"/>
          <w:lang w:val="nl-BE"/>
        </w:rPr>
        <w:t xml:space="preserve">seksuele integriteit </w:t>
      </w:r>
      <w:r w:rsidRPr="004E4270">
        <w:rPr>
          <w:rFonts w:cstheme="minorHAnsi"/>
          <w:lang w:val="nl-BE"/>
        </w:rPr>
        <w:t>onderscheidt</w:t>
      </w:r>
      <w:r w:rsidRPr="0069784D">
        <w:rPr>
          <w:rFonts w:cstheme="minorHAnsi"/>
          <w:lang w:val="nl-BE"/>
        </w:rPr>
        <w:t xml:space="preserve">, is dus </w:t>
      </w:r>
      <w:r w:rsidR="00BE243E" w:rsidRPr="0069784D">
        <w:rPr>
          <w:rFonts w:cstheme="minorHAnsi"/>
          <w:lang w:val="nl-BE"/>
        </w:rPr>
        <w:t xml:space="preserve">het bestaan van </w:t>
      </w:r>
      <w:r w:rsidRPr="0069784D">
        <w:rPr>
          <w:rFonts w:cstheme="minorHAnsi"/>
          <w:lang w:val="nl-BE"/>
        </w:rPr>
        <w:t xml:space="preserve">penetratie. </w:t>
      </w:r>
    </w:p>
    <w:p w14:paraId="44E92343" w14:textId="78435F50" w:rsidR="009B112A" w:rsidRPr="0069784D" w:rsidRDefault="009B112A" w:rsidP="009C15CF">
      <w:pPr>
        <w:jc w:val="both"/>
        <w:rPr>
          <w:rFonts w:cstheme="minorHAnsi"/>
          <w:lang w:val="nl-BE"/>
        </w:rPr>
      </w:pPr>
      <w:r w:rsidRPr="0069784D">
        <w:rPr>
          <w:rFonts w:cstheme="minorHAnsi"/>
          <w:lang w:val="nl-BE"/>
        </w:rPr>
        <w:t xml:space="preserve">Overeenkomstig de rechtspraak van het Hof van Cassatie </w:t>
      </w:r>
      <w:r w:rsidRPr="004E4270">
        <w:rPr>
          <w:rFonts w:cstheme="minorHAnsi"/>
          <w:lang w:val="nl-BE"/>
        </w:rPr>
        <w:t xml:space="preserve">stelt de wetgever dat elke </w:t>
      </w:r>
      <w:r w:rsidR="0053203E" w:rsidRPr="004E4270">
        <w:rPr>
          <w:rFonts w:cstheme="minorHAnsi"/>
          <w:lang w:val="nl-BE"/>
        </w:rPr>
        <w:t xml:space="preserve">niet-consensuele </w:t>
      </w:r>
      <w:r w:rsidRPr="004E4270">
        <w:rPr>
          <w:rFonts w:cstheme="minorHAnsi"/>
          <w:lang w:val="nl-BE"/>
        </w:rPr>
        <w:t xml:space="preserve">vorm van penetratie, zelfs onvolledig, een verkrachting </w:t>
      </w:r>
      <w:r w:rsidR="0053203E" w:rsidRPr="004E4270">
        <w:rPr>
          <w:rFonts w:cstheme="minorHAnsi"/>
          <w:lang w:val="nl-BE"/>
        </w:rPr>
        <w:t>uitmaakt</w:t>
      </w:r>
      <w:r w:rsidRPr="004E4270">
        <w:rPr>
          <w:rFonts w:cstheme="minorHAnsi"/>
          <w:lang w:val="nl-BE"/>
        </w:rPr>
        <w:t xml:space="preserve">. </w:t>
      </w:r>
    </w:p>
    <w:p w14:paraId="65504BB7" w14:textId="4BFF864C" w:rsidR="006D0973" w:rsidRPr="0069784D" w:rsidRDefault="006D0973" w:rsidP="009C15CF">
      <w:pPr>
        <w:jc w:val="both"/>
        <w:rPr>
          <w:rFonts w:cstheme="minorHAnsi"/>
          <w:lang w:val="nl-BE"/>
        </w:rPr>
      </w:pPr>
      <w:r w:rsidRPr="0069784D">
        <w:rPr>
          <w:rFonts w:cstheme="minorHAnsi"/>
          <w:lang w:val="nl-BE"/>
        </w:rPr>
        <w:t xml:space="preserve">De </w:t>
      </w:r>
      <w:r w:rsidR="009B112A" w:rsidRPr="006523FD">
        <w:rPr>
          <w:rFonts w:cstheme="minorHAnsi"/>
          <w:lang w:val="nl-BE"/>
        </w:rPr>
        <w:t>bewoording</w:t>
      </w:r>
      <w:r w:rsidR="0053203E" w:rsidRPr="006523FD">
        <w:rPr>
          <w:rFonts w:cstheme="minorHAnsi"/>
          <w:lang w:val="nl-BE"/>
        </w:rPr>
        <w:t>en</w:t>
      </w:r>
      <w:r w:rsidR="009B112A" w:rsidRPr="006523FD">
        <w:rPr>
          <w:rFonts w:cstheme="minorHAnsi"/>
          <w:lang w:val="nl-BE"/>
        </w:rPr>
        <w:t xml:space="preserve"> ‘bestaat of mede bestaat’</w:t>
      </w:r>
      <w:r w:rsidRPr="006523FD">
        <w:rPr>
          <w:rFonts w:cstheme="minorHAnsi"/>
          <w:lang w:val="nl-BE"/>
        </w:rPr>
        <w:t xml:space="preserve"> </w:t>
      </w:r>
      <w:r w:rsidR="0053203E" w:rsidRPr="006523FD">
        <w:rPr>
          <w:rFonts w:cstheme="minorHAnsi"/>
          <w:lang w:val="nl-BE"/>
        </w:rPr>
        <w:t xml:space="preserve"> zouden </w:t>
      </w:r>
      <w:r w:rsidRPr="006523FD">
        <w:rPr>
          <w:rFonts w:cstheme="minorHAnsi"/>
          <w:lang w:val="nl-BE"/>
        </w:rPr>
        <w:t xml:space="preserve">een impact </w:t>
      </w:r>
      <w:r w:rsidR="0053203E" w:rsidRPr="006523FD">
        <w:rPr>
          <w:rFonts w:cstheme="minorHAnsi"/>
          <w:lang w:val="nl-BE"/>
        </w:rPr>
        <w:t xml:space="preserve">kunnen </w:t>
      </w:r>
      <w:r w:rsidRPr="006523FD">
        <w:rPr>
          <w:rFonts w:cstheme="minorHAnsi"/>
          <w:lang w:val="nl-BE"/>
        </w:rPr>
        <w:t xml:space="preserve">hebben op de manier waarop feiten momenteel gekwalificeerd worden, wanneer er tegelijkertijd sprake is van seksuele penetratie én seksuele liefkozing. </w:t>
      </w:r>
      <w:r w:rsidR="0053203E" w:rsidRPr="006523FD">
        <w:rPr>
          <w:rFonts w:cstheme="minorHAnsi"/>
          <w:lang w:val="nl-BE"/>
        </w:rPr>
        <w:t xml:space="preserve">Nochtans </w:t>
      </w:r>
      <w:r w:rsidRPr="006523FD">
        <w:rPr>
          <w:rFonts w:cstheme="minorHAnsi"/>
          <w:lang w:val="nl-BE"/>
        </w:rPr>
        <w:t xml:space="preserve">kan het aangewezen zijn om naast de kwalificatie ‘verkrachting’ ook ‘aantasting van de seksuele </w:t>
      </w:r>
      <w:r w:rsidR="0053203E" w:rsidRPr="006523FD">
        <w:rPr>
          <w:rFonts w:cstheme="minorHAnsi"/>
          <w:lang w:val="nl-BE"/>
        </w:rPr>
        <w:t xml:space="preserve">te voorzien </w:t>
      </w:r>
      <w:r w:rsidRPr="006523FD">
        <w:rPr>
          <w:rFonts w:cstheme="minorHAnsi"/>
          <w:lang w:val="nl-BE"/>
        </w:rPr>
        <w:t xml:space="preserve">wanneer de </w:t>
      </w:r>
      <w:r w:rsidRPr="0069784D">
        <w:rPr>
          <w:rFonts w:cstheme="minorHAnsi"/>
          <w:lang w:val="nl-BE"/>
        </w:rPr>
        <w:t>penetratie moeilijk aangetoond kan worden.</w:t>
      </w:r>
    </w:p>
    <w:p w14:paraId="3EFA9EC7" w14:textId="5A31ADCC" w:rsidR="009B112A" w:rsidRPr="006523FD" w:rsidRDefault="006D0973" w:rsidP="009C15CF">
      <w:pPr>
        <w:jc w:val="both"/>
        <w:rPr>
          <w:rFonts w:cstheme="minorHAnsi"/>
          <w:lang w:val="nl-BE"/>
        </w:rPr>
      </w:pPr>
      <w:r w:rsidRPr="0069784D">
        <w:rPr>
          <w:rFonts w:cstheme="minorHAnsi"/>
          <w:lang w:val="nl-BE"/>
        </w:rPr>
        <w:t xml:space="preserve">De wetgever had ook de </w:t>
      </w:r>
      <w:r w:rsidRPr="006523FD">
        <w:rPr>
          <w:rFonts w:cstheme="minorHAnsi"/>
          <w:lang w:val="nl-BE"/>
        </w:rPr>
        <w:t xml:space="preserve">intentie om </w:t>
      </w:r>
      <w:r w:rsidRPr="006523FD">
        <w:rPr>
          <w:rFonts w:cstheme="minorHAnsi"/>
          <w:i/>
          <w:iCs/>
          <w:lang w:val="nl-BE"/>
        </w:rPr>
        <w:t xml:space="preserve">stealthing </w:t>
      </w:r>
      <w:r w:rsidRPr="006523FD">
        <w:rPr>
          <w:rFonts w:cstheme="minorHAnsi"/>
          <w:lang w:val="nl-BE"/>
        </w:rPr>
        <w:t xml:space="preserve">te bestraffen. Voor meer details </w:t>
      </w:r>
      <w:r w:rsidR="0053203E" w:rsidRPr="006523FD">
        <w:rPr>
          <w:rFonts w:cstheme="minorHAnsi"/>
          <w:lang w:val="nl-BE"/>
        </w:rPr>
        <w:t xml:space="preserve">in dat verband kan worden </w:t>
      </w:r>
      <w:r w:rsidRPr="006523FD">
        <w:rPr>
          <w:rFonts w:cstheme="minorHAnsi"/>
          <w:lang w:val="nl-BE"/>
        </w:rPr>
        <w:t>verwezen naar het punt inzake de toestemming</w:t>
      </w:r>
      <w:r w:rsidR="00405FDB" w:rsidRPr="006523FD">
        <w:rPr>
          <w:rFonts w:cstheme="minorHAnsi"/>
          <w:lang w:val="nl-BE"/>
        </w:rPr>
        <w:t>.</w:t>
      </w:r>
    </w:p>
    <w:p w14:paraId="2FA9FF2D" w14:textId="68962F09" w:rsidR="009B112A" w:rsidRPr="0069784D" w:rsidRDefault="009B112A" w:rsidP="009C15CF">
      <w:pPr>
        <w:jc w:val="both"/>
        <w:rPr>
          <w:rFonts w:cstheme="minorHAnsi"/>
          <w:lang w:val="nl-BE"/>
        </w:rPr>
      </w:pPr>
      <w:r w:rsidRPr="006523FD">
        <w:rPr>
          <w:rFonts w:cstheme="minorHAnsi"/>
          <w:lang w:val="nl-BE"/>
        </w:rPr>
        <w:t>De bewoording</w:t>
      </w:r>
      <w:r w:rsidR="0053203E" w:rsidRPr="006523FD">
        <w:rPr>
          <w:rFonts w:cstheme="minorHAnsi"/>
          <w:lang w:val="nl-BE"/>
        </w:rPr>
        <w:t>en</w:t>
      </w:r>
      <w:r w:rsidRPr="006523FD">
        <w:rPr>
          <w:rFonts w:cstheme="minorHAnsi"/>
          <w:lang w:val="nl-BE"/>
        </w:rPr>
        <w:t xml:space="preserve"> ‘of met behulp van een persoon’ </w:t>
      </w:r>
      <w:r w:rsidR="0053203E" w:rsidRPr="006523FD">
        <w:rPr>
          <w:rFonts w:cstheme="minorHAnsi"/>
          <w:lang w:val="nl-BE"/>
        </w:rPr>
        <w:t xml:space="preserve">hebben </w:t>
      </w:r>
      <w:r w:rsidRPr="006523FD">
        <w:rPr>
          <w:rFonts w:cstheme="minorHAnsi"/>
          <w:lang w:val="nl-BE"/>
        </w:rPr>
        <w:t xml:space="preserve">uitdrukkelijk betrekking op situaties waarin het slachtoffer verplicht wordt zich te laten penetreren of iemand </w:t>
      </w:r>
      <w:r w:rsidRPr="0069784D">
        <w:rPr>
          <w:rFonts w:cstheme="minorHAnsi"/>
          <w:lang w:val="nl-BE"/>
        </w:rPr>
        <w:t>anders te penetreren</w:t>
      </w:r>
      <w:r w:rsidR="006D0973" w:rsidRPr="0069784D">
        <w:rPr>
          <w:rStyle w:val="FootnoteReference"/>
          <w:rFonts w:cstheme="minorHAnsi"/>
          <w:lang w:val="nl-BE"/>
        </w:rPr>
        <w:footnoteReference w:customMarkFollows="1" w:id="46"/>
        <w:t>46</w:t>
      </w:r>
      <w:r w:rsidRPr="0069784D">
        <w:rPr>
          <w:rFonts w:cstheme="minorHAnsi"/>
          <w:lang w:val="nl-BE"/>
        </w:rPr>
        <w:t>.</w:t>
      </w:r>
    </w:p>
    <w:p w14:paraId="27AF34BF" w14:textId="27B0D238" w:rsidR="009B112A" w:rsidRPr="0069784D" w:rsidRDefault="006E7C04" w:rsidP="009C15CF">
      <w:pPr>
        <w:jc w:val="both"/>
        <w:rPr>
          <w:rFonts w:cstheme="minorHAnsi"/>
          <w:lang w:val="nl-BE"/>
        </w:rPr>
      </w:pPr>
      <w:r w:rsidRPr="0069784D">
        <w:rPr>
          <w:rFonts w:cstheme="minorHAnsi"/>
          <w:lang w:val="nl-BE"/>
        </w:rPr>
        <w:t>De</w:t>
      </w:r>
      <w:r w:rsidR="009B112A" w:rsidRPr="0069784D">
        <w:rPr>
          <w:rFonts w:cstheme="minorHAnsi"/>
          <w:lang w:val="nl-BE"/>
        </w:rPr>
        <w:t xml:space="preserve"> situatie waarin het </w:t>
      </w:r>
      <w:r w:rsidR="009B112A" w:rsidRPr="0069784D">
        <w:rPr>
          <w:rFonts w:cstheme="minorHAnsi"/>
          <w:b/>
          <w:bCs/>
          <w:lang w:val="nl-BE"/>
        </w:rPr>
        <w:t>de persoon die penetreert is die het slachtoffer van seksueel geweld is</w:t>
      </w:r>
      <w:r w:rsidRPr="0069784D">
        <w:rPr>
          <w:rFonts w:cstheme="minorHAnsi"/>
          <w:lang w:val="nl-BE"/>
        </w:rPr>
        <w:t>, wordt dus expliciet als een verkrachting beschouwd</w:t>
      </w:r>
      <w:r w:rsidR="009B112A" w:rsidRPr="0069784D">
        <w:rPr>
          <w:rFonts w:cstheme="minorHAnsi"/>
          <w:lang w:val="nl-BE"/>
        </w:rPr>
        <w:t>.</w:t>
      </w:r>
    </w:p>
    <w:p w14:paraId="07873D3C" w14:textId="77777777" w:rsidR="009B112A" w:rsidRPr="0069784D" w:rsidRDefault="009B112A" w:rsidP="009C15CF">
      <w:pPr>
        <w:jc w:val="both"/>
        <w:rPr>
          <w:rFonts w:cstheme="minorHAnsi"/>
          <w:lang w:val="nl-BE"/>
        </w:rPr>
      </w:pPr>
      <w:r w:rsidRPr="0069784D">
        <w:rPr>
          <w:rFonts w:cstheme="minorHAnsi"/>
          <w:lang w:val="nl-BE"/>
        </w:rPr>
        <w:t>Hetzelfde geld voor ‘</w:t>
      </w:r>
      <w:r w:rsidRPr="0069784D">
        <w:rPr>
          <w:rFonts w:cstheme="minorHAnsi"/>
          <w:b/>
          <w:bCs/>
          <w:lang w:val="nl-BE"/>
        </w:rPr>
        <w:t>verkrachtingen op afstand</w:t>
      </w:r>
      <w:r w:rsidRPr="0069784D">
        <w:rPr>
          <w:rFonts w:cstheme="minorHAnsi"/>
          <w:lang w:val="nl-BE"/>
        </w:rPr>
        <w:t>’.</w:t>
      </w:r>
    </w:p>
    <w:p w14:paraId="6A44E2F6" w14:textId="6DC2742B" w:rsidR="009B112A" w:rsidRPr="006523FD" w:rsidRDefault="009B112A" w:rsidP="009C15CF">
      <w:pPr>
        <w:jc w:val="both"/>
        <w:rPr>
          <w:rFonts w:cstheme="minorHAnsi"/>
          <w:lang w:val="nl-BE"/>
        </w:rPr>
      </w:pPr>
      <w:r w:rsidRPr="0069784D">
        <w:rPr>
          <w:rFonts w:cstheme="minorHAnsi"/>
          <w:lang w:val="nl-BE"/>
        </w:rPr>
        <w:t xml:space="preserve">In de memorie van </w:t>
      </w:r>
      <w:r w:rsidRPr="006523FD">
        <w:rPr>
          <w:rFonts w:cstheme="minorHAnsi"/>
          <w:lang w:val="nl-BE"/>
        </w:rPr>
        <w:t xml:space="preserve">toelichting wordt </w:t>
      </w:r>
      <w:r w:rsidRPr="006523FD">
        <w:rPr>
          <w:rFonts w:cstheme="minorHAnsi"/>
          <w:b/>
          <w:bCs/>
          <w:lang w:val="nl-BE"/>
        </w:rPr>
        <w:t xml:space="preserve">gedwongen </w:t>
      </w:r>
      <w:r w:rsidR="00453AD7" w:rsidRPr="006523FD">
        <w:rPr>
          <w:rFonts w:cstheme="minorHAnsi"/>
          <w:lang w:val="nl-BE"/>
        </w:rPr>
        <w:t xml:space="preserve">tongkus uitgesloten </w:t>
      </w:r>
      <w:r w:rsidRPr="006523FD">
        <w:rPr>
          <w:rFonts w:cstheme="minorHAnsi"/>
          <w:lang w:val="nl-BE"/>
        </w:rPr>
        <w:t xml:space="preserve">als verkrachting hetgeen niet alleen in flagrante tegenspraak lijkt te zijn met het Verdrag </w:t>
      </w:r>
      <w:r w:rsidR="00405FDB" w:rsidRPr="006523FD">
        <w:rPr>
          <w:rFonts w:cstheme="minorHAnsi"/>
          <w:lang w:val="nl-BE"/>
        </w:rPr>
        <w:t>v</w:t>
      </w:r>
      <w:r w:rsidRPr="006523FD">
        <w:rPr>
          <w:rFonts w:cstheme="minorHAnsi"/>
          <w:lang w:val="nl-BE"/>
        </w:rPr>
        <w:t xml:space="preserve">an Istanboel, waarbij de Staten opgedragen wordt om alle vormen van </w:t>
      </w:r>
      <w:r w:rsidRPr="006523FD">
        <w:rPr>
          <w:rFonts w:cstheme="minorHAnsi"/>
          <w:i/>
          <w:iCs/>
          <w:lang w:val="nl-BE"/>
        </w:rPr>
        <w:t>seksuele</w:t>
      </w:r>
      <w:r w:rsidRPr="006523FD">
        <w:rPr>
          <w:rFonts w:cstheme="minorHAnsi"/>
          <w:lang w:val="nl-BE"/>
        </w:rPr>
        <w:t xml:space="preserve"> penetratie strafbaar te stellen, maar ook met de rechtspraak </w:t>
      </w:r>
      <w:r w:rsidR="00453AD7" w:rsidRPr="006523FD">
        <w:rPr>
          <w:rFonts w:cstheme="minorHAnsi"/>
          <w:lang w:val="nl-BE"/>
        </w:rPr>
        <w:t xml:space="preserve">die een dergelijke </w:t>
      </w:r>
      <w:r w:rsidRPr="006523FD">
        <w:rPr>
          <w:rFonts w:cstheme="minorHAnsi"/>
          <w:lang w:val="nl-BE"/>
        </w:rPr>
        <w:t xml:space="preserve">handeling </w:t>
      </w:r>
      <w:r w:rsidR="00453AD7" w:rsidRPr="006523FD">
        <w:rPr>
          <w:rFonts w:cstheme="minorHAnsi"/>
          <w:lang w:val="nl-BE"/>
        </w:rPr>
        <w:t xml:space="preserve">als verkrachting </w:t>
      </w:r>
      <w:r w:rsidRPr="006523FD">
        <w:rPr>
          <w:rFonts w:cstheme="minorHAnsi"/>
          <w:lang w:val="nl-BE"/>
        </w:rPr>
        <w:t>beschouw</w:t>
      </w:r>
      <w:r w:rsidR="00453AD7" w:rsidRPr="006523FD">
        <w:rPr>
          <w:rFonts w:cstheme="minorHAnsi"/>
          <w:lang w:val="nl-BE"/>
        </w:rPr>
        <w:t>t</w:t>
      </w:r>
      <w:r w:rsidRPr="006523FD">
        <w:rPr>
          <w:rFonts w:cstheme="minorHAnsi"/>
          <w:lang w:val="nl-BE"/>
        </w:rPr>
        <w:t xml:space="preserve"> in zoverre ze seksueel van aard is.</w:t>
      </w:r>
    </w:p>
    <w:p w14:paraId="6FC3F219" w14:textId="37332036" w:rsidR="009B112A" w:rsidRPr="0069784D" w:rsidRDefault="009B112A" w:rsidP="009C15CF">
      <w:pPr>
        <w:jc w:val="both"/>
        <w:rPr>
          <w:rFonts w:cstheme="minorHAnsi"/>
          <w:lang w:val="nl-BE"/>
        </w:rPr>
      </w:pPr>
      <w:r w:rsidRPr="006523FD">
        <w:rPr>
          <w:rFonts w:cstheme="minorHAnsi"/>
          <w:lang w:val="nl-BE"/>
        </w:rPr>
        <w:t xml:space="preserve">De wetgever </w:t>
      </w:r>
      <w:r w:rsidR="00453AD7" w:rsidRPr="006523FD">
        <w:rPr>
          <w:rFonts w:cstheme="minorHAnsi"/>
          <w:lang w:val="nl-BE"/>
        </w:rPr>
        <w:t xml:space="preserve">voorziet </w:t>
      </w:r>
      <w:r w:rsidRPr="006523FD">
        <w:rPr>
          <w:rFonts w:cstheme="minorHAnsi"/>
          <w:lang w:val="nl-BE"/>
        </w:rPr>
        <w:t>trouwens zelf</w:t>
      </w:r>
      <w:r w:rsidR="00453AD7" w:rsidRPr="006523FD">
        <w:rPr>
          <w:rFonts w:cstheme="minorHAnsi"/>
          <w:lang w:val="nl-BE"/>
        </w:rPr>
        <w:t xml:space="preserve"> in </w:t>
      </w:r>
      <w:r w:rsidRPr="006523FD">
        <w:rPr>
          <w:rFonts w:cstheme="minorHAnsi"/>
          <w:lang w:val="nl-BE"/>
        </w:rPr>
        <w:t xml:space="preserve">een uitdrukkelijke omschrijving van </w:t>
      </w:r>
      <w:r w:rsidR="00453AD7" w:rsidRPr="006523FD">
        <w:rPr>
          <w:rFonts w:cstheme="minorHAnsi"/>
          <w:lang w:val="nl-BE"/>
        </w:rPr>
        <w:t xml:space="preserve">het </w:t>
      </w:r>
      <w:r w:rsidRPr="006523FD">
        <w:rPr>
          <w:rFonts w:cstheme="minorHAnsi"/>
          <w:lang w:val="nl-BE"/>
        </w:rPr>
        <w:t xml:space="preserve">begrip ‘penetratie’ als voorwaarde voor het bestaan van verkrachting </w:t>
      </w:r>
      <w:r w:rsidR="00453AD7" w:rsidRPr="006523FD">
        <w:rPr>
          <w:rFonts w:cstheme="minorHAnsi"/>
          <w:lang w:val="nl-BE"/>
        </w:rPr>
        <w:t xml:space="preserve">geïnspireerd op </w:t>
      </w:r>
      <w:r w:rsidRPr="006523FD">
        <w:rPr>
          <w:rFonts w:cstheme="minorHAnsi"/>
          <w:lang w:val="nl-BE"/>
        </w:rPr>
        <w:t xml:space="preserve">een definitie </w:t>
      </w:r>
      <w:r w:rsidRPr="0069784D">
        <w:rPr>
          <w:rFonts w:cstheme="minorHAnsi"/>
          <w:lang w:val="nl-BE"/>
        </w:rPr>
        <w:t xml:space="preserve">afkomstig uit het Verenigd Koninkrijk, op basis waarvan het seksuele karakter niet alleen uit de aard van de handeling maar ook uit de omstandigheden </w:t>
      </w:r>
      <w:r w:rsidRPr="006523FD">
        <w:rPr>
          <w:rFonts w:cstheme="minorHAnsi"/>
          <w:lang w:val="nl-BE"/>
        </w:rPr>
        <w:t xml:space="preserve">ervan </w:t>
      </w:r>
      <w:r w:rsidR="00453AD7" w:rsidRPr="006523FD">
        <w:rPr>
          <w:rFonts w:cstheme="minorHAnsi"/>
          <w:lang w:val="nl-BE"/>
        </w:rPr>
        <w:t xml:space="preserve">kan worden </w:t>
      </w:r>
      <w:r w:rsidRPr="006523FD">
        <w:rPr>
          <w:rFonts w:cstheme="minorHAnsi"/>
          <w:lang w:val="nl-BE"/>
        </w:rPr>
        <w:t>afgeleid</w:t>
      </w:r>
      <w:r w:rsidRPr="0069784D">
        <w:rPr>
          <w:rFonts w:cstheme="minorHAnsi"/>
          <w:lang w:val="nl-BE"/>
        </w:rPr>
        <w:t xml:space="preserve">. </w:t>
      </w:r>
    </w:p>
    <w:p w14:paraId="4B2B9727" w14:textId="77777777" w:rsidR="009B112A" w:rsidRPr="0069784D" w:rsidRDefault="009B112A" w:rsidP="009C15CF">
      <w:pPr>
        <w:jc w:val="both"/>
        <w:rPr>
          <w:rFonts w:cstheme="minorHAnsi"/>
          <w:lang w:val="nl-BE"/>
        </w:rPr>
      </w:pPr>
      <w:r w:rsidRPr="0069784D">
        <w:rPr>
          <w:rFonts w:cstheme="minorHAnsi"/>
          <w:lang w:val="nl-BE"/>
        </w:rPr>
        <w:t xml:space="preserve">Ook hier streeft de definitie genderneutraliteit na om zo ook rekening te kunnen houden met de chirurgisch geconstrueerde organen van transgenderpersonen. </w:t>
      </w:r>
    </w:p>
    <w:p w14:paraId="62528690" w14:textId="77777777" w:rsidR="009B112A" w:rsidRPr="0069784D" w:rsidRDefault="009B112A" w:rsidP="009C15CF">
      <w:pPr>
        <w:jc w:val="both"/>
        <w:rPr>
          <w:rFonts w:cstheme="minorHAnsi"/>
          <w:lang w:val="nl-BE"/>
        </w:rPr>
      </w:pPr>
    </w:p>
    <w:p w14:paraId="13012286" w14:textId="176245D5" w:rsidR="009B112A" w:rsidRPr="0069784D" w:rsidRDefault="009B112A" w:rsidP="009C15CF">
      <w:pPr>
        <w:jc w:val="both"/>
        <w:rPr>
          <w:color w:val="000000"/>
          <w:sz w:val="32"/>
          <w:szCs w:val="32"/>
          <w:lang w:val="nl-BE"/>
        </w:rPr>
      </w:pPr>
      <w:r w:rsidRPr="0069784D">
        <w:rPr>
          <w:color w:val="000000"/>
          <w:sz w:val="32"/>
          <w:szCs w:val="32"/>
          <w:lang w:val="nl-BE"/>
        </w:rPr>
        <w:t xml:space="preserve">Onderafdeling 3: </w:t>
      </w:r>
      <w:r w:rsidR="00405FDB" w:rsidRPr="0069784D">
        <w:rPr>
          <w:color w:val="000000"/>
          <w:sz w:val="32"/>
          <w:szCs w:val="32"/>
          <w:lang w:val="nl-BE"/>
        </w:rPr>
        <w:t>V</w:t>
      </w:r>
      <w:r w:rsidRPr="0069784D">
        <w:rPr>
          <w:color w:val="000000"/>
          <w:sz w:val="32"/>
          <w:szCs w:val="32"/>
          <w:lang w:val="nl-BE"/>
        </w:rPr>
        <w:t>erzwaarde misdrijven</w:t>
      </w:r>
    </w:p>
    <w:p w14:paraId="2D962AD9" w14:textId="77777777" w:rsidR="009B112A" w:rsidRPr="0069784D" w:rsidRDefault="009B112A" w:rsidP="009C15CF">
      <w:pPr>
        <w:jc w:val="both"/>
        <w:rPr>
          <w:rFonts w:cstheme="minorHAnsi"/>
          <w:lang w:val="nl-BE"/>
        </w:rPr>
      </w:pPr>
    </w:p>
    <w:p w14:paraId="74F69B33" w14:textId="024CD24D" w:rsidR="009B112A" w:rsidRPr="0069784D" w:rsidRDefault="009B112A" w:rsidP="009C15CF">
      <w:pPr>
        <w:jc w:val="both"/>
        <w:rPr>
          <w:lang w:val="nl-BE"/>
        </w:rPr>
      </w:pPr>
      <w:r w:rsidRPr="0069784D">
        <w:rPr>
          <w:lang w:val="nl-BE"/>
        </w:rPr>
        <w:t>Omwille van de coherentie diende de wetgever verzwarende omstandigheden in te voeren</w:t>
      </w:r>
      <w:r w:rsidR="006E7C04" w:rsidRPr="0069784D">
        <w:rPr>
          <w:lang w:val="nl-BE"/>
        </w:rPr>
        <w:t xml:space="preserve"> (de wetgever hanteert de bewoording ‘verzwaarde misdrijven’)</w:t>
      </w:r>
      <w:r w:rsidRPr="0069784D">
        <w:rPr>
          <w:lang w:val="nl-BE"/>
        </w:rPr>
        <w:t xml:space="preserve">, die in principe van toepassing zijn op de basismisdrijven </w:t>
      </w:r>
      <w:r w:rsidR="00453AD7" w:rsidRPr="006523FD">
        <w:rPr>
          <w:lang w:val="nl-BE"/>
        </w:rPr>
        <w:t xml:space="preserve">aangaande </w:t>
      </w:r>
      <w:r w:rsidRPr="006523FD">
        <w:rPr>
          <w:lang w:val="nl-BE"/>
        </w:rPr>
        <w:t xml:space="preserve">de </w:t>
      </w:r>
      <w:r w:rsidRPr="0069784D">
        <w:rPr>
          <w:lang w:val="nl-BE"/>
        </w:rPr>
        <w:t xml:space="preserve">aantasting van de seksuele integriteit, behalve wanneer het misdrijf in kwestie zich niet </w:t>
      </w:r>
      <w:r w:rsidR="00BE243E" w:rsidRPr="0069784D">
        <w:rPr>
          <w:lang w:val="nl-BE"/>
        </w:rPr>
        <w:t>l</w:t>
      </w:r>
      <w:r w:rsidRPr="0069784D">
        <w:rPr>
          <w:lang w:val="nl-BE"/>
        </w:rPr>
        <w:t xml:space="preserve">eent </w:t>
      </w:r>
      <w:r w:rsidR="00BE243E" w:rsidRPr="0069784D">
        <w:rPr>
          <w:lang w:val="nl-BE"/>
        </w:rPr>
        <w:t>tot</w:t>
      </w:r>
      <w:r w:rsidRPr="0069784D">
        <w:rPr>
          <w:lang w:val="nl-BE"/>
        </w:rPr>
        <w:t xml:space="preserve"> de toepassing van een verzwarende omstandigheid. </w:t>
      </w:r>
    </w:p>
    <w:p w14:paraId="33ACE199" w14:textId="3660BBD3" w:rsidR="009B112A" w:rsidRPr="0069784D" w:rsidRDefault="009B112A" w:rsidP="009C15CF">
      <w:pPr>
        <w:jc w:val="both"/>
        <w:rPr>
          <w:lang w:val="nl-BE"/>
        </w:rPr>
      </w:pPr>
      <w:r w:rsidRPr="0069784D">
        <w:rPr>
          <w:lang w:val="nl-BE"/>
        </w:rPr>
        <w:t>De wetgever zorgde er ook voor dat meerdere verzwarende omstandigheden en dus kwalificaties</w:t>
      </w:r>
      <w:r w:rsidR="006523FD">
        <w:rPr>
          <w:strike/>
          <w:color w:val="FF0000"/>
          <w:lang w:val="nl-BE"/>
        </w:rPr>
        <w:t xml:space="preserve"> </w:t>
      </w:r>
      <w:r w:rsidRPr="0069784D">
        <w:rPr>
          <w:lang w:val="nl-BE"/>
        </w:rPr>
        <w:t xml:space="preserve">mogelijk zijn. In </w:t>
      </w:r>
      <w:r w:rsidR="00453AD7" w:rsidRPr="006523FD">
        <w:rPr>
          <w:lang w:val="nl-BE"/>
        </w:rPr>
        <w:t xml:space="preserve">dat </w:t>
      </w:r>
      <w:r w:rsidRPr="006523FD">
        <w:rPr>
          <w:lang w:val="nl-BE"/>
        </w:rPr>
        <w:t xml:space="preserve">geval worden de regels betreffende de samenloop uit artikel 65 </w:t>
      </w:r>
      <w:r w:rsidR="00453AD7" w:rsidRPr="006523FD">
        <w:rPr>
          <w:lang w:val="nl-BE"/>
        </w:rPr>
        <w:t xml:space="preserve"> lid 1 </w:t>
      </w:r>
      <w:r w:rsidRPr="006523FD">
        <w:rPr>
          <w:lang w:val="nl-BE"/>
        </w:rPr>
        <w:t xml:space="preserve">van het Strafwetboek toegepast. </w:t>
      </w:r>
    </w:p>
    <w:p w14:paraId="22CF3E94" w14:textId="38124DDE" w:rsidR="006E7C04" w:rsidRPr="006523FD" w:rsidRDefault="006E7C04" w:rsidP="009C15CF">
      <w:pPr>
        <w:jc w:val="both"/>
        <w:rPr>
          <w:b/>
          <w:bCs/>
          <w:lang w:val="nl-BE"/>
        </w:rPr>
      </w:pPr>
      <w:r w:rsidRPr="0069784D">
        <w:rPr>
          <w:b/>
          <w:bCs/>
          <w:lang w:val="nl-BE"/>
        </w:rPr>
        <w:t xml:space="preserve">Er kan verwezen worden naar punt IV, krachtlijnen, punt 6) voor meer </w:t>
      </w:r>
      <w:r w:rsidRPr="006523FD">
        <w:rPr>
          <w:b/>
          <w:bCs/>
          <w:lang w:val="nl-BE"/>
        </w:rPr>
        <w:t xml:space="preserve">verduidelijking </w:t>
      </w:r>
      <w:r w:rsidR="001F1DB4" w:rsidRPr="006523FD">
        <w:rPr>
          <w:b/>
          <w:bCs/>
          <w:lang w:val="nl-BE"/>
        </w:rPr>
        <w:t xml:space="preserve">m.b.t. het </w:t>
      </w:r>
      <w:r w:rsidRPr="006523FD">
        <w:rPr>
          <w:b/>
          <w:bCs/>
          <w:lang w:val="nl-BE"/>
        </w:rPr>
        <w:t xml:space="preserve">begrip </w:t>
      </w:r>
      <w:r w:rsidR="00BE243E" w:rsidRPr="006523FD">
        <w:rPr>
          <w:b/>
          <w:bCs/>
          <w:lang w:val="nl-BE"/>
        </w:rPr>
        <w:t>‘</w:t>
      </w:r>
      <w:r w:rsidRPr="006523FD">
        <w:rPr>
          <w:b/>
          <w:bCs/>
          <w:lang w:val="nl-BE"/>
        </w:rPr>
        <w:t>verzwaard misdrijf’ en de aanbeveling</w:t>
      </w:r>
      <w:r w:rsidR="00BE243E" w:rsidRPr="006523FD">
        <w:rPr>
          <w:b/>
          <w:bCs/>
          <w:lang w:val="nl-BE"/>
        </w:rPr>
        <w:t>en</w:t>
      </w:r>
      <w:r w:rsidRPr="006523FD">
        <w:rPr>
          <w:b/>
          <w:bCs/>
          <w:lang w:val="nl-BE"/>
        </w:rPr>
        <w:t xml:space="preserve"> voor de opmaak van de rechtsplegingsstukken</w:t>
      </w:r>
      <w:r w:rsidR="001F1DB4" w:rsidRPr="006523FD">
        <w:rPr>
          <w:b/>
          <w:bCs/>
          <w:lang w:val="nl-BE"/>
        </w:rPr>
        <w:t xml:space="preserve"> in dat verband.</w:t>
      </w:r>
    </w:p>
    <w:p w14:paraId="0A577DFB" w14:textId="77777777" w:rsidR="009B112A" w:rsidRPr="0069784D" w:rsidRDefault="009B112A" w:rsidP="009C15CF">
      <w:pPr>
        <w:jc w:val="both"/>
        <w:rPr>
          <w:rFonts w:cstheme="minorHAnsi"/>
          <w:lang w:val="nl-BE"/>
        </w:rPr>
      </w:pPr>
      <w:r w:rsidRPr="0069784D">
        <w:rPr>
          <w:rFonts w:cstheme="minorHAnsi"/>
          <w:lang w:val="nl-BE"/>
        </w:rPr>
        <w:t>Volgende verzwarende omstandigheden zijn van toepassing op de basismisdrijven:</w:t>
      </w:r>
    </w:p>
    <w:p w14:paraId="5988C007" w14:textId="77777777" w:rsidR="009B112A" w:rsidRPr="0069784D" w:rsidRDefault="009B112A" w:rsidP="009C15CF">
      <w:pPr>
        <w:jc w:val="both"/>
        <w:rPr>
          <w:lang w:val="nl-BE"/>
        </w:rPr>
      </w:pPr>
      <w:r w:rsidRPr="0069784D">
        <w:rPr>
          <w:lang w:val="nl-BE"/>
        </w:rPr>
        <w:t xml:space="preserve">— niet-consensuele seksuele handelingen met de dood tot gevolg; </w:t>
      </w:r>
    </w:p>
    <w:p w14:paraId="1AC6EDBC" w14:textId="77777777" w:rsidR="00BE243E" w:rsidRPr="0069784D" w:rsidRDefault="009B112A" w:rsidP="009C15CF">
      <w:pPr>
        <w:jc w:val="both"/>
        <w:rPr>
          <w:lang w:val="nl-BE"/>
        </w:rPr>
      </w:pPr>
      <w:r w:rsidRPr="0069784D">
        <w:rPr>
          <w:lang w:val="nl-BE"/>
        </w:rPr>
        <w:t xml:space="preserve">— niet-consensuele seksuele handelingen voorafgegaan of gepaard gegaan met foltering, opsluiting of met zwaar geweld; </w:t>
      </w:r>
    </w:p>
    <w:p w14:paraId="6E3BAF12" w14:textId="00E56688" w:rsidR="009B112A" w:rsidRPr="0069784D" w:rsidRDefault="009B112A" w:rsidP="009C15CF">
      <w:pPr>
        <w:jc w:val="both"/>
        <w:rPr>
          <w:lang w:val="nl-BE"/>
        </w:rPr>
      </w:pPr>
      <w:r w:rsidRPr="0069784D">
        <w:rPr>
          <w:lang w:val="nl-BE"/>
        </w:rPr>
        <w:t>— niet-consensuele seksuele handelingen gepleegd onder bedreiging van een wapen of op een wapen gelijkend voorwerp of na toediening van weerloos makende stoffen</w:t>
      </w:r>
      <w:r w:rsidR="004E596B" w:rsidRPr="0069784D">
        <w:rPr>
          <w:lang w:val="nl-BE"/>
        </w:rPr>
        <w:t>;</w:t>
      </w:r>
    </w:p>
    <w:p w14:paraId="02B84047" w14:textId="77777777" w:rsidR="009B112A" w:rsidRPr="0069784D" w:rsidRDefault="009B112A" w:rsidP="009C15CF">
      <w:pPr>
        <w:jc w:val="both"/>
        <w:rPr>
          <w:lang w:val="nl-BE"/>
        </w:rPr>
      </w:pPr>
      <w:r w:rsidRPr="0069784D">
        <w:rPr>
          <w:lang w:val="nl-BE"/>
        </w:rPr>
        <w:t xml:space="preserve">— niet-consensuele seksuele handelingen gepleegd op een persoon die in een kwetsbare toestand verkeert; </w:t>
      </w:r>
    </w:p>
    <w:p w14:paraId="71868549" w14:textId="77777777" w:rsidR="009B112A" w:rsidRPr="0069784D" w:rsidRDefault="009B112A" w:rsidP="009C15CF">
      <w:pPr>
        <w:jc w:val="both"/>
        <w:rPr>
          <w:lang w:val="nl-BE"/>
        </w:rPr>
      </w:pPr>
      <w:r w:rsidRPr="0069784D">
        <w:rPr>
          <w:lang w:val="nl-BE"/>
        </w:rPr>
        <w:t xml:space="preserve">— niet-consensuele seksuele handelingen gepleegd op een minderjarige die geen volle zestien jaar oud is; </w:t>
      </w:r>
    </w:p>
    <w:p w14:paraId="50B422C7" w14:textId="77777777" w:rsidR="009B112A" w:rsidRPr="0069784D" w:rsidRDefault="009B112A" w:rsidP="009C15CF">
      <w:pPr>
        <w:jc w:val="both"/>
        <w:rPr>
          <w:lang w:val="nl-BE"/>
        </w:rPr>
      </w:pPr>
      <w:r w:rsidRPr="0069784D">
        <w:rPr>
          <w:lang w:val="nl-BE"/>
        </w:rPr>
        <w:t xml:space="preserve">— niet-consensuele seksuele handelingen gepleegd op een minderjarige boven de volle leeftijd van zestien jaar; </w:t>
      </w:r>
    </w:p>
    <w:p w14:paraId="3FE104D6" w14:textId="77777777" w:rsidR="006E7C04" w:rsidRPr="0069784D" w:rsidRDefault="009B112A" w:rsidP="009C15CF">
      <w:pPr>
        <w:jc w:val="both"/>
        <w:rPr>
          <w:lang w:val="nl-BE"/>
        </w:rPr>
      </w:pPr>
      <w:r w:rsidRPr="0069784D">
        <w:rPr>
          <w:lang w:val="nl-BE"/>
        </w:rPr>
        <w:t xml:space="preserve">— incest; </w:t>
      </w:r>
    </w:p>
    <w:p w14:paraId="29A7145F" w14:textId="022E28D4" w:rsidR="009B112A" w:rsidRPr="0069784D" w:rsidRDefault="009B112A" w:rsidP="009C15CF">
      <w:pPr>
        <w:jc w:val="both"/>
        <w:rPr>
          <w:lang w:val="nl-BE"/>
        </w:rPr>
      </w:pPr>
      <w:r w:rsidRPr="0069784D">
        <w:rPr>
          <w:lang w:val="nl-BE"/>
        </w:rPr>
        <w:t xml:space="preserve">— niet-consensuele intrafamiliale seksuele handelingen; </w:t>
      </w:r>
    </w:p>
    <w:p w14:paraId="09C53F75" w14:textId="77777777" w:rsidR="009B112A" w:rsidRPr="0069784D" w:rsidRDefault="009B112A" w:rsidP="009C15CF">
      <w:pPr>
        <w:jc w:val="both"/>
        <w:rPr>
          <w:lang w:val="nl-BE"/>
        </w:rPr>
      </w:pPr>
      <w:r w:rsidRPr="0069784D">
        <w:rPr>
          <w:lang w:val="nl-BE"/>
        </w:rPr>
        <w:t xml:space="preserve">— niet-consensuele seksuele handelingen gepleegd vanuit een discriminerende drijfveer; </w:t>
      </w:r>
    </w:p>
    <w:p w14:paraId="6F200ECB" w14:textId="77777777" w:rsidR="009B112A" w:rsidRPr="0069784D" w:rsidRDefault="009B112A" w:rsidP="009C15CF">
      <w:pPr>
        <w:jc w:val="both"/>
        <w:rPr>
          <w:lang w:val="nl-BE"/>
        </w:rPr>
      </w:pPr>
      <w:r w:rsidRPr="0069784D">
        <w:rPr>
          <w:lang w:val="nl-BE"/>
        </w:rPr>
        <w:t xml:space="preserve">— niet-consensuele seksuele handelingen gepleegd door een persoon die zich in een gezags- of vertrouwenspositie bevindt ten opzichte van het slachtoffer; </w:t>
      </w:r>
    </w:p>
    <w:p w14:paraId="3BE470CA" w14:textId="77777777" w:rsidR="009B112A" w:rsidRPr="0069784D" w:rsidRDefault="009B112A" w:rsidP="009C15CF">
      <w:pPr>
        <w:jc w:val="both"/>
        <w:rPr>
          <w:lang w:val="nl-BE"/>
        </w:rPr>
      </w:pPr>
      <w:r w:rsidRPr="0069784D">
        <w:rPr>
          <w:lang w:val="nl-BE"/>
        </w:rPr>
        <w:t>— niet-consensuele seksuele handelingen met de hulp van een of meer personen.</w:t>
      </w:r>
    </w:p>
    <w:p w14:paraId="45C7D6B7" w14:textId="31420AAD" w:rsidR="009B112A" w:rsidRPr="0069784D" w:rsidRDefault="009B112A" w:rsidP="009C15CF">
      <w:pPr>
        <w:jc w:val="both"/>
        <w:rPr>
          <w:rFonts w:cstheme="minorHAnsi"/>
          <w:lang w:val="nl-BE"/>
        </w:rPr>
      </w:pPr>
      <w:r w:rsidRPr="0069784D">
        <w:rPr>
          <w:rFonts w:cstheme="minorHAnsi"/>
          <w:lang w:val="nl-BE"/>
        </w:rPr>
        <w:lastRenderedPageBreak/>
        <w:t>Deze verzwarende omstandigheden zijn in principe van toepassing op alle misdrijven</w:t>
      </w:r>
      <w:r w:rsidR="001F1DB4">
        <w:rPr>
          <w:rFonts w:cstheme="minorHAnsi"/>
          <w:lang w:val="nl-BE"/>
        </w:rPr>
        <w:t>.</w:t>
      </w:r>
      <w:r w:rsidRPr="001F1DB4">
        <w:rPr>
          <w:rFonts w:cstheme="minorHAnsi"/>
          <w:lang w:val="nl-BE"/>
        </w:rPr>
        <w:t xml:space="preserve"> </w:t>
      </w:r>
      <w:r w:rsidR="00962528" w:rsidRPr="006523FD">
        <w:rPr>
          <w:rFonts w:cstheme="minorHAnsi"/>
          <w:lang w:val="nl-BE"/>
        </w:rPr>
        <w:t>D</w:t>
      </w:r>
      <w:r w:rsidRPr="006523FD">
        <w:rPr>
          <w:rFonts w:cstheme="minorHAnsi"/>
          <w:lang w:val="nl-BE"/>
        </w:rPr>
        <w:t xml:space="preserve">e wetgever geeft evenwel aan dat het niet vanzelfsprekend zal zijn </w:t>
      </w:r>
      <w:r w:rsidR="00962528" w:rsidRPr="006523FD">
        <w:rPr>
          <w:rFonts w:cstheme="minorHAnsi"/>
          <w:lang w:val="nl-BE"/>
        </w:rPr>
        <w:t>de</w:t>
      </w:r>
      <w:r w:rsidRPr="006523FD">
        <w:rPr>
          <w:rFonts w:cstheme="minorHAnsi"/>
          <w:lang w:val="nl-BE"/>
        </w:rPr>
        <w:t xml:space="preserve">ze toe te passen op misdrijven waarbij </w:t>
      </w:r>
      <w:r w:rsidRPr="0069784D">
        <w:rPr>
          <w:rFonts w:cstheme="minorHAnsi"/>
          <w:lang w:val="nl-BE"/>
        </w:rPr>
        <w:t>er geen sprake is van een dader-slachtofferinteractie</w:t>
      </w:r>
      <w:r w:rsidR="006E7C04" w:rsidRPr="0069784D">
        <w:rPr>
          <w:rStyle w:val="FootnoteReference"/>
          <w:rFonts w:cstheme="minorHAnsi"/>
          <w:lang w:val="nl-BE"/>
        </w:rPr>
        <w:footnoteReference w:customMarkFollows="1" w:id="47"/>
        <w:t>47</w:t>
      </w:r>
      <w:r w:rsidRPr="0069784D">
        <w:rPr>
          <w:rFonts w:cstheme="minorHAnsi"/>
          <w:lang w:val="nl-BE"/>
        </w:rPr>
        <w:t>.</w:t>
      </w:r>
    </w:p>
    <w:p w14:paraId="1E850273" w14:textId="00926954" w:rsidR="009B112A" w:rsidRPr="0069784D" w:rsidRDefault="009B112A" w:rsidP="009C15CF">
      <w:pPr>
        <w:jc w:val="both"/>
        <w:rPr>
          <w:rFonts w:cstheme="minorHAnsi"/>
          <w:lang w:val="nl-BE"/>
        </w:rPr>
      </w:pPr>
      <w:r w:rsidRPr="0069784D">
        <w:rPr>
          <w:rFonts w:cstheme="minorHAnsi"/>
          <w:lang w:val="nl-BE"/>
        </w:rPr>
        <w:t>In het licht van de algemene verhoging van de strafmaat voor alle seksuele misdrijven wordt ook het merendeel van d</w:t>
      </w:r>
      <w:r w:rsidR="006B73F3" w:rsidRPr="0069784D">
        <w:rPr>
          <w:rFonts w:cstheme="minorHAnsi"/>
          <w:lang w:val="nl-BE"/>
        </w:rPr>
        <w:t>e</w:t>
      </w:r>
      <w:r w:rsidRPr="0069784D">
        <w:rPr>
          <w:rFonts w:cstheme="minorHAnsi"/>
          <w:lang w:val="nl-BE"/>
        </w:rPr>
        <w:t xml:space="preserve"> straffen dat met verzwarende omstandigheden gepaard gaat verhoogd.  </w:t>
      </w:r>
    </w:p>
    <w:p w14:paraId="6FBBB2B1" w14:textId="4DA05E32" w:rsidR="009B112A" w:rsidRPr="0069784D" w:rsidRDefault="009B112A" w:rsidP="009C15CF">
      <w:pPr>
        <w:jc w:val="both"/>
        <w:rPr>
          <w:rFonts w:cstheme="minorHAnsi"/>
          <w:b/>
          <w:lang w:val="nl-BE"/>
        </w:rPr>
      </w:pPr>
      <w:r w:rsidRPr="0069784D">
        <w:rPr>
          <w:rFonts w:cstheme="minorHAnsi"/>
          <w:b/>
          <w:lang w:val="nl-BE"/>
        </w:rPr>
        <w:t xml:space="preserve">In sommige gevallen is </w:t>
      </w:r>
      <w:r w:rsidRPr="006523FD">
        <w:rPr>
          <w:rFonts w:cstheme="minorHAnsi"/>
          <w:b/>
          <w:lang w:val="nl-BE"/>
        </w:rPr>
        <w:t xml:space="preserve">correctionalisering </w:t>
      </w:r>
      <w:r w:rsidR="00962528" w:rsidRPr="006523FD">
        <w:rPr>
          <w:rFonts w:cstheme="minorHAnsi"/>
          <w:b/>
          <w:lang w:val="nl-BE"/>
        </w:rPr>
        <w:t xml:space="preserve">niet langer </w:t>
      </w:r>
      <w:r w:rsidRPr="006523FD">
        <w:rPr>
          <w:rFonts w:cstheme="minorHAnsi"/>
          <w:b/>
          <w:lang w:val="nl-BE"/>
        </w:rPr>
        <w:t>mogelijk</w:t>
      </w:r>
      <w:r w:rsidR="006E7C04" w:rsidRPr="006523FD">
        <w:rPr>
          <w:rStyle w:val="FootnoteReference"/>
          <w:rFonts w:cstheme="minorHAnsi"/>
          <w:b/>
          <w:lang w:val="nl-BE"/>
        </w:rPr>
        <w:footnoteReference w:customMarkFollows="1" w:id="48"/>
        <w:t>48</w:t>
      </w:r>
      <w:r w:rsidRPr="0069784D">
        <w:rPr>
          <w:rFonts w:cstheme="minorHAnsi"/>
          <w:b/>
          <w:lang w:val="nl-BE"/>
        </w:rPr>
        <w:t>.</w:t>
      </w:r>
    </w:p>
    <w:p w14:paraId="0EC323FE" w14:textId="77777777" w:rsidR="009B112A" w:rsidRPr="0069784D" w:rsidRDefault="009B112A" w:rsidP="009C15CF">
      <w:pPr>
        <w:jc w:val="both"/>
        <w:rPr>
          <w:rFonts w:cstheme="minorHAnsi"/>
          <w:lang w:val="nl-BE"/>
        </w:rPr>
      </w:pPr>
    </w:p>
    <w:p w14:paraId="6F488C21" w14:textId="77777777" w:rsidR="009B112A" w:rsidRPr="0069784D" w:rsidRDefault="009B112A" w:rsidP="009C15CF">
      <w:pPr>
        <w:jc w:val="both"/>
        <w:rPr>
          <w:bCs/>
          <w:sz w:val="28"/>
          <w:szCs w:val="28"/>
          <w:lang w:val="nl-BE"/>
        </w:rPr>
      </w:pPr>
      <w:r w:rsidRPr="0069784D">
        <w:rPr>
          <w:bCs/>
          <w:color w:val="000000"/>
          <w:sz w:val="28"/>
          <w:szCs w:val="28"/>
          <w:lang w:val="nl-BE"/>
        </w:rPr>
        <w:t>Artikel 417/12 -</w:t>
      </w:r>
      <w:r w:rsidRPr="0069784D">
        <w:rPr>
          <w:bCs/>
          <w:sz w:val="28"/>
          <w:szCs w:val="28"/>
          <w:lang w:val="nl-BE"/>
        </w:rPr>
        <w:t xml:space="preserve"> </w:t>
      </w:r>
      <w:r w:rsidRPr="0069784D">
        <w:rPr>
          <w:bCs/>
          <w:color w:val="000000"/>
          <w:sz w:val="27"/>
          <w:szCs w:val="27"/>
          <w:lang w:val="nl-BE"/>
        </w:rPr>
        <w:t>Niet-consensuele seksuele handelingen met de dood tot gevolg</w:t>
      </w:r>
    </w:p>
    <w:p w14:paraId="250034F7" w14:textId="77777777" w:rsidR="00044D70" w:rsidRPr="0069784D" w:rsidRDefault="00044D70" w:rsidP="009C15CF">
      <w:pPr>
        <w:jc w:val="both"/>
        <w:rPr>
          <w:rFonts w:cstheme="minorHAnsi"/>
          <w:lang w:val="nl-BE"/>
        </w:rPr>
      </w:pPr>
    </w:p>
    <w:p w14:paraId="4D34CB6B" w14:textId="1C4A8BB8" w:rsidR="009B112A" w:rsidRPr="0069784D" w:rsidRDefault="009B112A" w:rsidP="009C15CF">
      <w:pPr>
        <w:jc w:val="both"/>
        <w:rPr>
          <w:rFonts w:cstheme="minorHAnsi"/>
          <w:lang w:val="nl-BE"/>
        </w:rPr>
      </w:pPr>
      <w:r w:rsidRPr="0069784D">
        <w:rPr>
          <w:rFonts w:cstheme="minorHAnsi"/>
          <w:lang w:val="nl-BE"/>
        </w:rPr>
        <w:t>Deze verzwarende omstandighe</w:t>
      </w:r>
      <w:r w:rsidR="004E596B" w:rsidRPr="0069784D">
        <w:rPr>
          <w:rFonts w:cstheme="minorHAnsi"/>
          <w:lang w:val="nl-BE"/>
        </w:rPr>
        <w:t>i</w:t>
      </w:r>
      <w:r w:rsidRPr="0069784D">
        <w:rPr>
          <w:rFonts w:cstheme="minorHAnsi"/>
          <w:lang w:val="nl-BE"/>
        </w:rPr>
        <w:t xml:space="preserve">d is enkel </w:t>
      </w:r>
      <w:r w:rsidRPr="006523FD">
        <w:rPr>
          <w:rFonts w:cstheme="minorHAnsi"/>
          <w:lang w:val="nl-BE"/>
        </w:rPr>
        <w:t xml:space="preserve">mogelijk </w:t>
      </w:r>
      <w:r w:rsidR="00962528" w:rsidRPr="006523FD">
        <w:rPr>
          <w:rFonts w:cstheme="minorHAnsi"/>
          <w:lang w:val="nl-BE"/>
        </w:rPr>
        <w:t>in geval van</w:t>
      </w:r>
      <w:r w:rsidRPr="006523FD">
        <w:rPr>
          <w:rFonts w:cstheme="minorHAnsi"/>
          <w:lang w:val="nl-BE"/>
        </w:rPr>
        <w:t xml:space="preserve"> aantasting </w:t>
      </w:r>
      <w:r w:rsidRPr="0069784D">
        <w:rPr>
          <w:rFonts w:cstheme="minorHAnsi"/>
          <w:lang w:val="nl-BE"/>
        </w:rPr>
        <w:t xml:space="preserve">van de seksuele integriteit </w:t>
      </w:r>
      <w:r w:rsidR="00962528" w:rsidRPr="006523FD">
        <w:rPr>
          <w:rFonts w:cstheme="minorHAnsi"/>
          <w:lang w:val="nl-BE"/>
        </w:rPr>
        <w:t xml:space="preserve">en </w:t>
      </w:r>
      <w:r w:rsidRPr="006523FD">
        <w:rPr>
          <w:rFonts w:cstheme="minorHAnsi"/>
          <w:lang w:val="nl-BE"/>
        </w:rPr>
        <w:t xml:space="preserve">verkrachting. </w:t>
      </w:r>
    </w:p>
    <w:p w14:paraId="7D6CA467" w14:textId="72DEC65E" w:rsidR="009B112A" w:rsidRPr="006523FD" w:rsidRDefault="00962528" w:rsidP="009C15CF">
      <w:pPr>
        <w:jc w:val="both"/>
        <w:rPr>
          <w:rFonts w:cstheme="minorHAnsi"/>
          <w:lang w:val="nl-BE"/>
        </w:rPr>
      </w:pPr>
      <w:r w:rsidRPr="006523FD">
        <w:rPr>
          <w:rFonts w:cstheme="minorHAnsi"/>
          <w:lang w:val="nl-BE"/>
        </w:rPr>
        <w:t xml:space="preserve">Daaruit vloeit voort </w:t>
      </w:r>
      <w:r w:rsidR="009B112A" w:rsidRPr="006523FD">
        <w:rPr>
          <w:rFonts w:cstheme="minorHAnsi"/>
          <w:lang w:val="nl-BE"/>
        </w:rPr>
        <w:t>dat zij niet toegepast kan worden wanneer de niet-consensuele verspreiding van seksuele inhoud de dood van het slachtoffer tot gevolg had, hoewel een dergelijke situatie in de praktijk wel degelijk mogelijk is</w:t>
      </w:r>
      <w:r w:rsidRPr="006523FD">
        <w:rPr>
          <w:rFonts w:cstheme="minorHAnsi"/>
          <w:lang w:val="nl-BE"/>
        </w:rPr>
        <w:t xml:space="preserve"> (cfr. zelfmoord door het slachtoffer).</w:t>
      </w:r>
    </w:p>
    <w:p w14:paraId="4BEC1022" w14:textId="33D4829C" w:rsidR="009B112A" w:rsidRPr="0069784D" w:rsidRDefault="009B112A" w:rsidP="009C15CF">
      <w:pPr>
        <w:jc w:val="both"/>
        <w:rPr>
          <w:rFonts w:cstheme="minorHAnsi"/>
          <w:lang w:val="nl-BE"/>
        </w:rPr>
      </w:pPr>
      <w:r w:rsidRPr="0069784D">
        <w:rPr>
          <w:rFonts w:cstheme="minorHAnsi"/>
          <w:lang w:val="nl-BE"/>
        </w:rPr>
        <w:t xml:space="preserve">Bijgevolg </w:t>
      </w:r>
      <w:r w:rsidRPr="006523FD">
        <w:rPr>
          <w:rFonts w:cstheme="minorHAnsi"/>
          <w:lang w:val="nl-BE"/>
        </w:rPr>
        <w:t xml:space="preserve">moeten </w:t>
      </w:r>
      <w:r w:rsidR="00962528" w:rsidRPr="006523FD">
        <w:rPr>
          <w:rFonts w:cstheme="minorHAnsi"/>
          <w:lang w:val="nl-BE"/>
        </w:rPr>
        <w:t xml:space="preserve">in dergelijke gevallen </w:t>
      </w:r>
      <w:r w:rsidRPr="006523FD">
        <w:rPr>
          <w:rFonts w:cstheme="minorHAnsi"/>
          <w:lang w:val="nl-BE"/>
        </w:rPr>
        <w:t>de ‘</w:t>
      </w:r>
      <w:r w:rsidRPr="0069784D">
        <w:rPr>
          <w:rFonts w:cstheme="minorHAnsi"/>
          <w:lang w:val="nl-BE"/>
        </w:rPr>
        <w:t>ge</w:t>
      </w:r>
      <w:r w:rsidR="00405FDB" w:rsidRPr="0069784D">
        <w:rPr>
          <w:rFonts w:cstheme="minorHAnsi"/>
          <w:lang w:val="nl-BE"/>
        </w:rPr>
        <w:t>bruikelijke</w:t>
      </w:r>
      <w:r w:rsidRPr="0069784D">
        <w:rPr>
          <w:rFonts w:cstheme="minorHAnsi"/>
          <w:lang w:val="nl-BE"/>
        </w:rPr>
        <w:t>’</w:t>
      </w:r>
      <w:r w:rsidR="006523FD">
        <w:rPr>
          <w:rFonts w:cstheme="minorHAnsi"/>
          <w:lang w:val="nl-BE"/>
        </w:rPr>
        <w:t xml:space="preserve"> kwalificaties toegepast worden</w:t>
      </w:r>
      <w:r w:rsidR="006E7C04" w:rsidRPr="0069784D">
        <w:rPr>
          <w:rStyle w:val="FootnoteReference"/>
          <w:rFonts w:cstheme="minorHAnsi"/>
          <w:lang w:val="nl-BE"/>
        </w:rPr>
        <w:footnoteReference w:customMarkFollows="1" w:id="49"/>
        <w:t>49</w:t>
      </w:r>
      <w:r w:rsidRPr="0069784D">
        <w:rPr>
          <w:rFonts w:cstheme="minorHAnsi"/>
          <w:lang w:val="nl-BE"/>
        </w:rPr>
        <w:t xml:space="preserve"> </w:t>
      </w:r>
      <w:r w:rsidR="006B73F3" w:rsidRPr="0069784D">
        <w:rPr>
          <w:rFonts w:cstheme="minorHAnsi"/>
          <w:lang w:val="nl-BE"/>
        </w:rPr>
        <w:t>.</w:t>
      </w:r>
    </w:p>
    <w:p w14:paraId="3A33C6FD" w14:textId="7AA36F6A" w:rsidR="009B112A" w:rsidRPr="0069784D" w:rsidRDefault="00962528" w:rsidP="009C15CF">
      <w:pPr>
        <w:jc w:val="both"/>
        <w:rPr>
          <w:rFonts w:cstheme="minorHAnsi"/>
          <w:lang w:val="nl-BE"/>
        </w:rPr>
      </w:pPr>
      <w:r w:rsidRPr="006523FD">
        <w:rPr>
          <w:rFonts w:cstheme="minorHAnsi"/>
          <w:lang w:val="nl-BE"/>
        </w:rPr>
        <w:t>C</w:t>
      </w:r>
      <w:r w:rsidR="009B112A" w:rsidRPr="0069784D">
        <w:rPr>
          <w:rFonts w:cstheme="minorHAnsi"/>
          <w:lang w:val="nl-BE"/>
        </w:rPr>
        <w:t>orrectionalisering is evenmin</w:t>
      </w:r>
      <w:r w:rsidR="006E7C04" w:rsidRPr="0069784D">
        <w:rPr>
          <w:rFonts w:cstheme="minorHAnsi"/>
          <w:lang w:val="nl-BE"/>
        </w:rPr>
        <w:t xml:space="preserve"> mogelijk</w:t>
      </w:r>
      <w:r w:rsidR="009B112A" w:rsidRPr="0069784D">
        <w:rPr>
          <w:rFonts w:cstheme="minorHAnsi"/>
          <w:lang w:val="nl-BE"/>
        </w:rPr>
        <w:t>.</w:t>
      </w:r>
    </w:p>
    <w:p w14:paraId="6F659B31" w14:textId="77777777" w:rsidR="009B112A" w:rsidRPr="0069784D" w:rsidRDefault="009B112A" w:rsidP="009C15CF">
      <w:pPr>
        <w:jc w:val="both"/>
        <w:rPr>
          <w:rFonts w:cstheme="minorHAnsi"/>
          <w:lang w:val="nl-BE"/>
        </w:rPr>
      </w:pPr>
    </w:p>
    <w:p w14:paraId="27FFAB5A" w14:textId="77777777" w:rsidR="009B112A" w:rsidRPr="0069784D" w:rsidRDefault="009B112A" w:rsidP="009C15CF">
      <w:pPr>
        <w:jc w:val="both"/>
        <w:rPr>
          <w:bCs/>
          <w:sz w:val="28"/>
          <w:szCs w:val="28"/>
          <w:lang w:val="nl-BE"/>
        </w:rPr>
      </w:pPr>
      <w:r w:rsidRPr="0069784D">
        <w:rPr>
          <w:bCs/>
          <w:color w:val="000000"/>
          <w:sz w:val="28"/>
          <w:szCs w:val="28"/>
          <w:lang w:val="nl-BE"/>
        </w:rPr>
        <w:t xml:space="preserve">Artikel 417/13 - </w:t>
      </w:r>
      <w:r w:rsidRPr="0069784D">
        <w:rPr>
          <w:bCs/>
          <w:color w:val="000000"/>
          <w:sz w:val="27"/>
          <w:szCs w:val="27"/>
          <w:lang w:val="nl-BE"/>
        </w:rPr>
        <w:t>Niet-consensuele seksuele handelingen voorafgegaan door of gepaard gaand met foltering, opsluiting of zwaar geweld</w:t>
      </w:r>
    </w:p>
    <w:p w14:paraId="5F3996A3" w14:textId="77777777" w:rsidR="00044D70" w:rsidRPr="0069784D" w:rsidRDefault="00044D70" w:rsidP="009C15CF">
      <w:pPr>
        <w:jc w:val="both"/>
        <w:rPr>
          <w:rFonts w:cstheme="minorHAnsi"/>
          <w:lang w:val="nl-BE"/>
        </w:rPr>
      </w:pPr>
    </w:p>
    <w:p w14:paraId="165D5B9D" w14:textId="7F389E4F" w:rsidR="009B112A" w:rsidRPr="0069784D" w:rsidRDefault="009B112A" w:rsidP="009C15CF">
      <w:pPr>
        <w:jc w:val="both"/>
        <w:rPr>
          <w:rFonts w:cstheme="minorHAnsi"/>
          <w:lang w:val="nl-BE"/>
        </w:rPr>
      </w:pPr>
      <w:r w:rsidRPr="0069784D">
        <w:rPr>
          <w:rFonts w:cstheme="minorHAnsi"/>
          <w:lang w:val="nl-BE"/>
        </w:rPr>
        <w:t>Deze verzwarende omstandighe</w:t>
      </w:r>
      <w:r w:rsidR="00405FDB" w:rsidRPr="0069784D">
        <w:rPr>
          <w:rFonts w:cstheme="minorHAnsi"/>
          <w:lang w:val="nl-BE"/>
        </w:rPr>
        <w:t>i</w:t>
      </w:r>
      <w:r w:rsidRPr="0069784D">
        <w:rPr>
          <w:rFonts w:cstheme="minorHAnsi"/>
          <w:lang w:val="nl-BE"/>
        </w:rPr>
        <w:t>d</w:t>
      </w:r>
      <w:r w:rsidR="00405FDB" w:rsidRPr="0069784D">
        <w:rPr>
          <w:rFonts w:cstheme="minorHAnsi"/>
          <w:lang w:val="nl-BE"/>
        </w:rPr>
        <w:t xml:space="preserve"> </w:t>
      </w:r>
      <w:r w:rsidRPr="0069784D">
        <w:rPr>
          <w:rFonts w:cstheme="minorHAnsi"/>
          <w:lang w:val="nl-BE"/>
        </w:rPr>
        <w:t xml:space="preserve">is enkel </w:t>
      </w:r>
      <w:r w:rsidRPr="006523FD">
        <w:rPr>
          <w:rFonts w:cstheme="minorHAnsi"/>
          <w:lang w:val="nl-BE"/>
        </w:rPr>
        <w:t xml:space="preserve">mogelijk </w:t>
      </w:r>
      <w:r w:rsidR="00962528" w:rsidRPr="006523FD">
        <w:rPr>
          <w:rFonts w:cstheme="minorHAnsi"/>
          <w:lang w:val="nl-BE"/>
        </w:rPr>
        <w:t>in geval van</w:t>
      </w:r>
      <w:r w:rsidRPr="006523FD">
        <w:rPr>
          <w:rFonts w:cstheme="minorHAnsi"/>
          <w:lang w:val="nl-BE"/>
        </w:rPr>
        <w:t xml:space="preserve"> aantasting </w:t>
      </w:r>
      <w:r w:rsidRPr="0069784D">
        <w:rPr>
          <w:rFonts w:cstheme="minorHAnsi"/>
          <w:lang w:val="nl-BE"/>
        </w:rPr>
        <w:t>van de seksuele integriteit en verkrachting.</w:t>
      </w:r>
    </w:p>
    <w:p w14:paraId="16904731" w14:textId="375DA148" w:rsidR="009B112A" w:rsidRPr="0069784D" w:rsidRDefault="009B112A" w:rsidP="009C15CF">
      <w:pPr>
        <w:jc w:val="both"/>
        <w:rPr>
          <w:b/>
          <w:lang w:val="nl-BE"/>
        </w:rPr>
      </w:pPr>
      <w:r w:rsidRPr="0069784D">
        <w:rPr>
          <w:b/>
          <w:lang w:val="nl-BE"/>
        </w:rPr>
        <w:t xml:space="preserve">Er mag niet uit het </w:t>
      </w:r>
      <w:r w:rsidRPr="006523FD">
        <w:rPr>
          <w:b/>
          <w:lang w:val="nl-BE"/>
        </w:rPr>
        <w:t xml:space="preserve">oog </w:t>
      </w:r>
      <w:r w:rsidR="00962528" w:rsidRPr="006523FD">
        <w:rPr>
          <w:b/>
          <w:lang w:val="nl-BE"/>
        </w:rPr>
        <w:t xml:space="preserve">worden </w:t>
      </w:r>
      <w:r w:rsidRPr="006523FD">
        <w:rPr>
          <w:b/>
          <w:lang w:val="nl-BE"/>
        </w:rPr>
        <w:t xml:space="preserve">verloren dat wanneer een seksueel misdrijf gepleegd </w:t>
      </w:r>
      <w:r w:rsidRPr="006523FD">
        <w:rPr>
          <w:b/>
          <w:u w:val="single"/>
          <w:lang w:val="nl-BE"/>
        </w:rPr>
        <w:t xml:space="preserve">door een bloedverwant </w:t>
      </w:r>
      <w:r w:rsidR="003A5BA5" w:rsidRPr="006523FD">
        <w:rPr>
          <w:b/>
          <w:u w:val="single"/>
          <w:lang w:val="nl-BE"/>
        </w:rPr>
        <w:t xml:space="preserve">in opgaande lijn </w:t>
      </w:r>
      <w:r w:rsidRPr="006523FD">
        <w:rPr>
          <w:b/>
          <w:u w:val="single"/>
          <w:lang w:val="nl-BE"/>
        </w:rPr>
        <w:t>tegen een minderjarige</w:t>
      </w:r>
      <w:r w:rsidRPr="006523FD">
        <w:rPr>
          <w:b/>
          <w:lang w:val="nl-BE"/>
        </w:rPr>
        <w:t xml:space="preserve"> gepaard gaat met foltering, er samenloop is met het misdrijf ‘foltering’ uit het </w:t>
      </w:r>
      <w:r w:rsidRPr="0069784D">
        <w:rPr>
          <w:b/>
          <w:lang w:val="nl-BE"/>
        </w:rPr>
        <w:t>vroegere artikel 417ter,</w:t>
      </w:r>
      <w:r w:rsidR="006B73F3" w:rsidRPr="0069784D">
        <w:rPr>
          <w:b/>
          <w:lang w:val="nl-BE"/>
        </w:rPr>
        <w:t xml:space="preserve"> </w:t>
      </w:r>
      <w:r w:rsidRPr="0069784D">
        <w:rPr>
          <w:b/>
          <w:lang w:val="nl-BE"/>
        </w:rPr>
        <w:t xml:space="preserve">lid 3, 1 (nieuw artikel 417/2), waarvoor correctionalisering niet toegestaan is.  </w:t>
      </w:r>
    </w:p>
    <w:p w14:paraId="3807DC46" w14:textId="31A7FBFF" w:rsidR="009B112A" w:rsidRPr="0069784D" w:rsidRDefault="009B112A" w:rsidP="009C15CF">
      <w:pPr>
        <w:jc w:val="both"/>
        <w:rPr>
          <w:rFonts w:cstheme="minorHAnsi"/>
          <w:u w:val="single"/>
          <w:lang w:val="nl-BE"/>
        </w:rPr>
      </w:pPr>
      <w:r w:rsidRPr="0069784D">
        <w:rPr>
          <w:lang w:val="nl-BE"/>
        </w:rPr>
        <w:t>De formulering “</w:t>
      </w:r>
      <w:r w:rsidRPr="0069784D">
        <w:rPr>
          <w:i/>
          <w:iCs/>
          <w:color w:val="000000"/>
          <w:lang w:val="nl-BE"/>
        </w:rPr>
        <w:t xml:space="preserve">Niet-consensuele seksuele handelingen voorafgegaan door of gepaard gaand met foltering, opsluiting of met zwaar geweld met een lichamelijk letsel of schade aan de gezondheid dat </w:t>
      </w:r>
      <w:r w:rsidRPr="0069784D">
        <w:rPr>
          <w:i/>
          <w:iCs/>
          <w:color w:val="000000"/>
          <w:lang w:val="nl-BE"/>
        </w:rPr>
        <w:lastRenderedPageBreak/>
        <w:t>resulteert in een ongeschiktheid tot het verrichten van persoonlijk werk van meer dan vier maanden, dat een ongeneeslijk lijkende ziekte, het volledig verlies van een orgaan of een lichaamsfunctie, een zware verminking, dan wel een zwangerschapsafbreking tot gevolg heeft…”</w:t>
      </w:r>
      <w:r w:rsidRPr="0069784D">
        <w:rPr>
          <w:color w:val="000000"/>
          <w:lang w:val="nl-BE"/>
        </w:rPr>
        <w:t xml:space="preserve"> is bovendien onduidelijk.</w:t>
      </w:r>
    </w:p>
    <w:p w14:paraId="209A291F" w14:textId="314901D3" w:rsidR="009B112A" w:rsidRPr="0069784D" w:rsidRDefault="009B112A" w:rsidP="009C15CF">
      <w:pPr>
        <w:jc w:val="both"/>
        <w:rPr>
          <w:lang w:val="nl-BE"/>
        </w:rPr>
      </w:pPr>
      <w:r w:rsidRPr="0069784D">
        <w:rPr>
          <w:rFonts w:cstheme="minorHAnsi"/>
          <w:lang w:val="nl-BE"/>
        </w:rPr>
        <w:t xml:space="preserve">In de memorie van toelichting wordt </w:t>
      </w:r>
      <w:r w:rsidR="003A5BA5" w:rsidRPr="006523FD">
        <w:rPr>
          <w:rFonts w:cstheme="minorHAnsi"/>
          <w:lang w:val="nl-BE"/>
        </w:rPr>
        <w:t xml:space="preserve">onder verwijzing naar het begrip ‘aantasting van de integriteit van de derde graad’ uit het toekomstige Strafwetboek- </w:t>
      </w:r>
      <w:r w:rsidRPr="006523FD">
        <w:rPr>
          <w:rFonts w:cstheme="minorHAnsi"/>
          <w:lang w:val="nl-BE"/>
        </w:rPr>
        <w:t xml:space="preserve">op een meer </w:t>
      </w:r>
      <w:r w:rsidR="003A5BA5" w:rsidRPr="006523FD">
        <w:rPr>
          <w:rFonts w:cstheme="minorHAnsi"/>
          <w:lang w:val="nl-BE"/>
        </w:rPr>
        <w:t xml:space="preserve">heldere </w:t>
      </w:r>
      <w:r w:rsidRPr="006523FD">
        <w:rPr>
          <w:rFonts w:cstheme="minorHAnsi"/>
          <w:lang w:val="nl-BE"/>
        </w:rPr>
        <w:t xml:space="preserve">manier aangegeven dat dit nieuwe begrip inzake </w:t>
      </w:r>
      <w:r w:rsidR="003A5BA5" w:rsidRPr="006523FD">
        <w:rPr>
          <w:rFonts w:cstheme="minorHAnsi"/>
          <w:lang w:val="nl-BE"/>
        </w:rPr>
        <w:t xml:space="preserve">zwaar </w:t>
      </w:r>
      <w:r w:rsidRPr="006523FD">
        <w:rPr>
          <w:rFonts w:cstheme="minorHAnsi"/>
          <w:lang w:val="nl-BE"/>
        </w:rPr>
        <w:t xml:space="preserve">geweld als volgt gedefinieerd dient te worden: </w:t>
      </w:r>
      <w:r w:rsidRPr="006523FD">
        <w:rPr>
          <w:rFonts w:cstheme="minorHAnsi"/>
          <w:i/>
          <w:iCs/>
          <w:lang w:val="nl-BE"/>
        </w:rPr>
        <w:t>“</w:t>
      </w:r>
      <w:r w:rsidRPr="006523FD">
        <w:rPr>
          <w:i/>
          <w:iCs/>
          <w:lang w:val="nl-BE"/>
        </w:rPr>
        <w:t xml:space="preserve">Elk lichamelijk letsel of schade aan de gezondheid die resulteert in een ongeschiktheid </w:t>
      </w:r>
      <w:r w:rsidRPr="0069784D">
        <w:rPr>
          <w:i/>
          <w:iCs/>
          <w:lang w:val="nl-BE"/>
        </w:rPr>
        <w:t>tot het verrichten van persoonlijk werk van meer dan vier maanden, een ongeneeslijk lijkende ziekte, het volledig verlies van een orgaan of een lichaamsfunctie, een zware verminking, dan wel een zwangerschapsafbreking zonder dat de dader het oogmerk had een zwangerschapsafbreking te veroorzaken.”</w:t>
      </w:r>
    </w:p>
    <w:p w14:paraId="55284CDF" w14:textId="4E3DCBAB" w:rsidR="009B112A" w:rsidRPr="0069784D" w:rsidRDefault="009B112A" w:rsidP="009C15CF">
      <w:pPr>
        <w:jc w:val="both"/>
        <w:rPr>
          <w:lang w:val="nl-BE"/>
        </w:rPr>
      </w:pPr>
      <w:r w:rsidRPr="0069784D">
        <w:rPr>
          <w:lang w:val="nl-BE"/>
        </w:rPr>
        <w:t xml:space="preserve">De laatste paragraaf van de memorie van </w:t>
      </w:r>
      <w:r w:rsidRPr="006523FD">
        <w:rPr>
          <w:lang w:val="nl-BE"/>
        </w:rPr>
        <w:t xml:space="preserve">toelichting </w:t>
      </w:r>
      <w:r w:rsidR="00037073" w:rsidRPr="006523FD">
        <w:rPr>
          <w:lang w:val="nl-BE"/>
        </w:rPr>
        <w:t xml:space="preserve">m.b.t. </w:t>
      </w:r>
      <w:r w:rsidRPr="006523FD">
        <w:rPr>
          <w:lang w:val="nl-BE"/>
        </w:rPr>
        <w:t xml:space="preserve">deze tweede verzwarende omstandigheid </w:t>
      </w:r>
      <w:r w:rsidR="00037073" w:rsidRPr="006523FD">
        <w:rPr>
          <w:lang w:val="nl-BE"/>
        </w:rPr>
        <w:t xml:space="preserve">zou </w:t>
      </w:r>
      <w:r w:rsidRPr="006523FD">
        <w:rPr>
          <w:lang w:val="nl-BE"/>
        </w:rPr>
        <w:t xml:space="preserve">nochtans geïnterpreteerd </w:t>
      </w:r>
      <w:r w:rsidR="00037073" w:rsidRPr="006523FD">
        <w:rPr>
          <w:lang w:val="nl-BE"/>
        </w:rPr>
        <w:t xml:space="preserve">kunnen </w:t>
      </w:r>
      <w:r w:rsidRPr="006523FD">
        <w:rPr>
          <w:lang w:val="nl-BE"/>
        </w:rPr>
        <w:t xml:space="preserve">worden alsof ook </w:t>
      </w:r>
      <w:r w:rsidRPr="006523FD">
        <w:rPr>
          <w:b/>
          <w:bCs/>
          <w:lang w:val="nl-BE"/>
        </w:rPr>
        <w:t>andere daden van geweld dan deze dit in dit artikel opgesomd worden, als zwaar geweld gekwalificeerd kunnen worden</w:t>
      </w:r>
      <w:r w:rsidRPr="006523FD">
        <w:rPr>
          <w:lang w:val="nl-BE"/>
        </w:rPr>
        <w:t xml:space="preserve">: </w:t>
      </w:r>
      <w:r w:rsidRPr="006523FD">
        <w:rPr>
          <w:i/>
          <w:iCs/>
          <w:lang w:val="nl-BE"/>
        </w:rPr>
        <w:t xml:space="preserve">“De opname van een algemene verzwarende omstandigheid van geweld is niet aangewezen, gelet </w:t>
      </w:r>
      <w:r w:rsidRPr="0069784D">
        <w:rPr>
          <w:i/>
          <w:iCs/>
          <w:lang w:val="nl-BE"/>
        </w:rPr>
        <w:t>op  het feit dat seksuele misdrijven uit hun aard geacht worden geweldsmisdrijven te zijn. De toevoeging van de verzwarende omstandigheid “zwaar geweld” zal het zwaar geweld kunnen overkoepelen dat niet noodzakelijk valt onder de noemer “foltering” (te denken valt bv. aan een gescheurde baarmoeder ten gevolge van de verkrachting). M.b.t. de andere gewelddaden zal de samenloopsituatie onverkort van toepassing zijn.”</w:t>
      </w:r>
      <w:r w:rsidR="006E7C04" w:rsidRPr="0069784D">
        <w:rPr>
          <w:rStyle w:val="FootnoteReference"/>
          <w:lang w:val="nl-BE"/>
        </w:rPr>
        <w:footnoteReference w:customMarkFollows="1" w:id="50"/>
        <w:t>50</w:t>
      </w:r>
      <w:r w:rsidRPr="0069784D">
        <w:rPr>
          <w:lang w:val="nl-BE"/>
        </w:rPr>
        <w:t>.</w:t>
      </w:r>
    </w:p>
    <w:p w14:paraId="0619F336" w14:textId="2785C8F6" w:rsidR="009B112A" w:rsidRPr="0069784D" w:rsidRDefault="009B112A" w:rsidP="009C15CF">
      <w:pPr>
        <w:jc w:val="both"/>
        <w:rPr>
          <w:lang w:val="nl-BE"/>
        </w:rPr>
      </w:pPr>
      <w:r w:rsidRPr="0069784D">
        <w:rPr>
          <w:lang w:val="nl-BE"/>
        </w:rPr>
        <w:t xml:space="preserve">De wetgever verduidelijkt dat de begrippen ‘ziekte’ en ‘ongeschiktheid tot het verrichten van werk’ zowel op lichamelijk als intellectueel werk betrekking hebben (vandaar de term ‘persoonlijk werk’ in plaats van ‘persoonlijke arbeid’), en herinnert er bovendien aan dat de ongeschiktheid tot het verrichten van persoonlijk </w:t>
      </w:r>
      <w:r w:rsidR="00405FDB" w:rsidRPr="0069784D">
        <w:rPr>
          <w:lang w:val="nl-BE"/>
        </w:rPr>
        <w:t xml:space="preserve">werk </w:t>
      </w:r>
      <w:r w:rsidRPr="0069784D">
        <w:rPr>
          <w:lang w:val="nl-BE"/>
        </w:rPr>
        <w:t xml:space="preserve">geen betrekking heeft op de concrete beroepsactiviteiten van het </w:t>
      </w:r>
      <w:r w:rsidRPr="006523FD">
        <w:rPr>
          <w:lang w:val="nl-BE"/>
        </w:rPr>
        <w:t xml:space="preserve">slachtoffer maar wel op de abstracte mogelijkheid van het slachtoffer om gewone arbeid te verrichten. Het </w:t>
      </w:r>
      <w:r w:rsidR="00037073" w:rsidRPr="006523FD">
        <w:rPr>
          <w:lang w:val="nl-BE"/>
        </w:rPr>
        <w:t xml:space="preserve">komt er op aan rekening te houden met </w:t>
      </w:r>
      <w:r w:rsidRPr="006523FD">
        <w:rPr>
          <w:lang w:val="nl-BE"/>
        </w:rPr>
        <w:t xml:space="preserve">de intrinsieke ernst van de gevolgen, los van het beroep, de sociale positie, de gewoontes en de levensstijl van het slachtoffer, </w:t>
      </w:r>
      <w:r w:rsidR="00037073" w:rsidRPr="006523FD">
        <w:rPr>
          <w:lang w:val="nl-BE"/>
        </w:rPr>
        <w:t xml:space="preserve">zodat </w:t>
      </w:r>
      <w:r w:rsidRPr="006523FD">
        <w:rPr>
          <w:lang w:val="nl-BE"/>
        </w:rPr>
        <w:t>ook minderjarige</w:t>
      </w:r>
      <w:r w:rsidR="00037073" w:rsidRPr="006523FD">
        <w:rPr>
          <w:lang w:val="nl-BE"/>
        </w:rPr>
        <w:t>n</w:t>
      </w:r>
      <w:r w:rsidRPr="006523FD">
        <w:rPr>
          <w:lang w:val="nl-BE"/>
        </w:rPr>
        <w:t xml:space="preserve"> of gepensioneerde</w:t>
      </w:r>
      <w:r w:rsidR="00037073" w:rsidRPr="006523FD">
        <w:rPr>
          <w:lang w:val="nl-BE"/>
        </w:rPr>
        <w:t>n in aanmerking komen</w:t>
      </w:r>
      <w:r w:rsidR="006E7C04" w:rsidRPr="006523FD">
        <w:rPr>
          <w:rStyle w:val="FootnoteReference"/>
          <w:lang w:val="nl-BE"/>
        </w:rPr>
        <w:footnoteReference w:customMarkFollows="1" w:id="51"/>
        <w:t>51</w:t>
      </w:r>
      <w:r w:rsidRPr="006523FD">
        <w:rPr>
          <w:lang w:val="nl-BE"/>
        </w:rPr>
        <w:t>.</w:t>
      </w:r>
    </w:p>
    <w:p w14:paraId="2C941D2F" w14:textId="2BA8D314" w:rsidR="009B112A" w:rsidRPr="006523FD" w:rsidRDefault="009B112A" w:rsidP="009C15CF">
      <w:pPr>
        <w:jc w:val="both"/>
        <w:rPr>
          <w:lang w:val="nl-BE"/>
        </w:rPr>
      </w:pPr>
      <w:r w:rsidRPr="0069784D">
        <w:rPr>
          <w:lang w:val="nl-BE"/>
        </w:rPr>
        <w:t xml:space="preserve">De wetgever beoogt bovendien zowel fysieke als psychische ziekten, vanuit de overweging dat een onderscheid tussen </w:t>
      </w:r>
      <w:r w:rsidRPr="006523FD">
        <w:rPr>
          <w:lang w:val="nl-BE"/>
        </w:rPr>
        <w:t>beiden voorbijgestreefd is. Het is niet de bedoeling elke verstoring van het psychische evenwicht</w:t>
      </w:r>
      <w:r w:rsidR="00037073" w:rsidRPr="006523FD">
        <w:rPr>
          <w:lang w:val="nl-BE"/>
        </w:rPr>
        <w:t xml:space="preserve"> in aanmerking te laten komen</w:t>
      </w:r>
      <w:r w:rsidRPr="006523FD">
        <w:rPr>
          <w:lang w:val="nl-BE"/>
        </w:rPr>
        <w:t xml:space="preserve">, maar wel </w:t>
      </w:r>
      <w:r w:rsidR="00037073" w:rsidRPr="006523FD">
        <w:rPr>
          <w:lang w:val="nl-BE"/>
        </w:rPr>
        <w:t xml:space="preserve">de </w:t>
      </w:r>
      <w:r w:rsidRPr="006523FD">
        <w:rPr>
          <w:lang w:val="nl-BE"/>
        </w:rPr>
        <w:t xml:space="preserve">“ernstige psychische schade” </w:t>
      </w:r>
      <w:r w:rsidR="00123A63" w:rsidRPr="006523FD">
        <w:rPr>
          <w:lang w:val="nl-BE"/>
        </w:rPr>
        <w:t xml:space="preserve">die in </w:t>
      </w:r>
      <w:r w:rsidRPr="006523FD">
        <w:rPr>
          <w:lang w:val="nl-BE"/>
        </w:rPr>
        <w:t xml:space="preserve">causaal verband staat met </w:t>
      </w:r>
      <w:r w:rsidR="00123A63" w:rsidRPr="006523FD">
        <w:rPr>
          <w:lang w:val="nl-BE"/>
        </w:rPr>
        <w:t xml:space="preserve">de </w:t>
      </w:r>
      <w:r w:rsidRPr="006523FD">
        <w:rPr>
          <w:lang w:val="nl-BE"/>
        </w:rPr>
        <w:t>ten laste gelegde gedrag</w:t>
      </w:r>
      <w:r w:rsidR="00123A63" w:rsidRPr="006523FD">
        <w:rPr>
          <w:lang w:val="nl-BE"/>
        </w:rPr>
        <w:t>ingen</w:t>
      </w:r>
      <w:r w:rsidRPr="006523FD">
        <w:rPr>
          <w:lang w:val="nl-BE"/>
        </w:rPr>
        <w:t xml:space="preserve"> (</w:t>
      </w:r>
      <w:r w:rsidR="00123A63" w:rsidRPr="006523FD">
        <w:rPr>
          <w:lang w:val="nl-BE"/>
        </w:rPr>
        <w:t xml:space="preserve">bv. </w:t>
      </w:r>
      <w:r w:rsidRPr="006523FD">
        <w:rPr>
          <w:lang w:val="nl-BE"/>
        </w:rPr>
        <w:t>een emotionele shock of een depressie, in tegenstelling tot louter</w:t>
      </w:r>
      <w:r w:rsidR="00123A63" w:rsidRPr="006523FD">
        <w:rPr>
          <w:lang w:val="nl-BE"/>
        </w:rPr>
        <w:t>e</w:t>
      </w:r>
      <w:r w:rsidRPr="006523FD">
        <w:rPr>
          <w:lang w:val="nl-BE"/>
        </w:rPr>
        <w:t xml:space="preserve"> angstgevoelens)</w:t>
      </w:r>
      <w:r w:rsidR="006E7C04" w:rsidRPr="006523FD">
        <w:rPr>
          <w:rStyle w:val="FootnoteReference"/>
          <w:lang w:val="nl-BE"/>
        </w:rPr>
        <w:footnoteReference w:customMarkFollows="1" w:id="52"/>
        <w:t>52</w:t>
      </w:r>
      <w:r w:rsidRPr="006523FD">
        <w:rPr>
          <w:lang w:val="nl-BE"/>
        </w:rPr>
        <w:t xml:space="preserve">. </w:t>
      </w:r>
      <w:r w:rsidR="00123A63" w:rsidRPr="006523FD">
        <w:rPr>
          <w:lang w:val="nl-BE"/>
        </w:rPr>
        <w:t xml:space="preserve"> Het </w:t>
      </w:r>
      <w:r w:rsidRPr="006523FD">
        <w:rPr>
          <w:lang w:val="nl-BE"/>
        </w:rPr>
        <w:t>onderscheid tussen wat al dan niet als een ziekte beschouwd moet worden</w:t>
      </w:r>
      <w:r w:rsidR="00123A63" w:rsidRPr="006523FD">
        <w:rPr>
          <w:lang w:val="nl-BE"/>
        </w:rPr>
        <w:t>, is op basis van deze vermeldingen evenwel niet geheel duidelijk.</w:t>
      </w:r>
    </w:p>
    <w:p w14:paraId="49306140" w14:textId="1E248E1C" w:rsidR="009B112A" w:rsidRPr="006523FD" w:rsidRDefault="009B112A" w:rsidP="009C15CF">
      <w:pPr>
        <w:jc w:val="both"/>
        <w:rPr>
          <w:lang w:val="nl-BE"/>
        </w:rPr>
      </w:pPr>
      <w:r w:rsidRPr="006523FD">
        <w:rPr>
          <w:lang w:val="nl-BE"/>
        </w:rPr>
        <w:t xml:space="preserve">Het ‘volledig verlies van een orgaan of een lichaamsfunctie’ krijgt de voorkeur boven het begrip ‘volledig verlies van het gebruik van een orgaan’ uit artikel 400 van het Strafwetboek. </w:t>
      </w:r>
      <w:r w:rsidR="00123A63" w:rsidRPr="006523FD">
        <w:rPr>
          <w:lang w:val="nl-BE"/>
        </w:rPr>
        <w:t>B</w:t>
      </w:r>
      <w:r w:rsidRPr="006523FD">
        <w:rPr>
          <w:lang w:val="nl-BE"/>
        </w:rPr>
        <w:t xml:space="preserve">edoeling </w:t>
      </w:r>
      <w:r w:rsidR="00123A63" w:rsidRPr="006523FD">
        <w:rPr>
          <w:lang w:val="nl-BE"/>
        </w:rPr>
        <w:t xml:space="preserve">is het </w:t>
      </w:r>
      <w:r w:rsidRPr="006523FD">
        <w:rPr>
          <w:lang w:val="nl-BE"/>
        </w:rPr>
        <w:t xml:space="preserve">begrip ‘orgaan’ zo ruim mogelijk te interpreteren en het verlies van een lichaamsfunctie op een meer adequate manier te definiëren (vb. voortplantings- of bewegingsorgaan). Het verlies van een orgaan impliceert dat het niet langer deel uitmaakt van het lichaam als rechtstreeks resultaat van de feiten, </w:t>
      </w:r>
      <w:r w:rsidRPr="006523FD">
        <w:rPr>
          <w:lang w:val="nl-BE"/>
        </w:rPr>
        <w:lastRenderedPageBreak/>
        <w:t xml:space="preserve">dan wel </w:t>
      </w:r>
      <w:r w:rsidR="00123A63" w:rsidRPr="006523FD">
        <w:rPr>
          <w:lang w:val="nl-BE"/>
        </w:rPr>
        <w:t xml:space="preserve">naar aanleiding </w:t>
      </w:r>
      <w:r w:rsidRPr="006523FD">
        <w:rPr>
          <w:lang w:val="nl-BE"/>
        </w:rPr>
        <w:t xml:space="preserve">van een medische ingreep die het gevolg is </w:t>
      </w:r>
      <w:r w:rsidR="00123A63" w:rsidRPr="006523FD">
        <w:rPr>
          <w:lang w:val="nl-BE"/>
        </w:rPr>
        <w:t xml:space="preserve">geweest </w:t>
      </w:r>
      <w:r w:rsidRPr="006523FD">
        <w:rPr>
          <w:lang w:val="nl-BE"/>
        </w:rPr>
        <w:t>van de feiten</w:t>
      </w:r>
      <w:r w:rsidR="006E7C04" w:rsidRPr="006523FD">
        <w:rPr>
          <w:rStyle w:val="FootnoteReference"/>
          <w:lang w:val="nl-BE"/>
        </w:rPr>
        <w:footnoteReference w:customMarkFollows="1" w:id="53"/>
        <w:t>53</w:t>
      </w:r>
      <w:r w:rsidRPr="006523FD">
        <w:rPr>
          <w:lang w:val="nl-BE"/>
        </w:rPr>
        <w:t>. Ook het verlies van niet-vitale organ</w:t>
      </w:r>
      <w:r w:rsidR="003C388E" w:rsidRPr="006523FD">
        <w:rPr>
          <w:lang w:val="nl-BE"/>
        </w:rPr>
        <w:t>en</w:t>
      </w:r>
      <w:r w:rsidRPr="006523FD">
        <w:rPr>
          <w:lang w:val="nl-BE"/>
        </w:rPr>
        <w:t xml:space="preserve"> wordt beoogd (verlies van de milt of één nier, …). </w:t>
      </w:r>
    </w:p>
    <w:p w14:paraId="600FB189" w14:textId="7B6C8A2E" w:rsidR="009B112A" w:rsidRPr="006523FD" w:rsidRDefault="009B112A" w:rsidP="009C15CF">
      <w:pPr>
        <w:jc w:val="both"/>
        <w:rPr>
          <w:lang w:val="nl-BE"/>
        </w:rPr>
      </w:pPr>
      <w:r w:rsidRPr="006523FD">
        <w:rPr>
          <w:b/>
          <w:lang w:val="nl-BE"/>
        </w:rPr>
        <w:t>Een zwangerschapsonderbreking</w:t>
      </w:r>
      <w:r w:rsidRPr="006523FD">
        <w:rPr>
          <w:bCs/>
          <w:lang w:val="nl-BE"/>
        </w:rPr>
        <w:t xml:space="preserve"> wordt eveneens als zwaar geweld beschouwd (momenteel </w:t>
      </w:r>
      <w:r w:rsidR="00123A63" w:rsidRPr="006523FD">
        <w:rPr>
          <w:bCs/>
          <w:lang w:val="nl-BE"/>
        </w:rPr>
        <w:t xml:space="preserve">wordt de zwangerschapsonderbreking </w:t>
      </w:r>
      <w:r w:rsidRPr="006523FD">
        <w:rPr>
          <w:bCs/>
          <w:lang w:val="nl-BE"/>
        </w:rPr>
        <w:t>veroorzaakt door vrijwillig gepleegd geweld</w:t>
      </w:r>
      <w:r w:rsidR="006D246E" w:rsidRPr="006523FD">
        <w:rPr>
          <w:bCs/>
          <w:lang w:val="nl-BE"/>
        </w:rPr>
        <w:t xml:space="preserve"> in het algemeen geviseerd door artikel 349 van het Strafwetboek </w:t>
      </w:r>
      <w:r w:rsidRPr="006523FD">
        <w:rPr>
          <w:bCs/>
          <w:lang w:val="nl-BE"/>
        </w:rPr>
        <w:t xml:space="preserve">. </w:t>
      </w:r>
      <w:r w:rsidRPr="006523FD">
        <w:rPr>
          <w:lang w:val="nl-BE"/>
        </w:rPr>
        <w:t xml:space="preserve"> </w:t>
      </w:r>
    </w:p>
    <w:p w14:paraId="551AB414" w14:textId="77777777" w:rsidR="009B112A" w:rsidRPr="006523FD" w:rsidRDefault="009B112A" w:rsidP="009C15CF">
      <w:pPr>
        <w:jc w:val="both"/>
        <w:rPr>
          <w:lang w:val="nl-BE"/>
        </w:rPr>
      </w:pPr>
    </w:p>
    <w:p w14:paraId="7C7B3EE6" w14:textId="77777777" w:rsidR="009B112A" w:rsidRPr="006523FD" w:rsidRDefault="009B112A" w:rsidP="009C15CF">
      <w:pPr>
        <w:jc w:val="both"/>
        <w:rPr>
          <w:bCs/>
          <w:sz w:val="28"/>
          <w:szCs w:val="28"/>
          <w:lang w:val="nl-BE"/>
        </w:rPr>
      </w:pPr>
      <w:r w:rsidRPr="006523FD">
        <w:rPr>
          <w:bCs/>
          <w:sz w:val="28"/>
          <w:szCs w:val="28"/>
          <w:lang w:val="nl-BE"/>
        </w:rPr>
        <w:t xml:space="preserve">Artikel 417/14 - </w:t>
      </w:r>
      <w:r w:rsidRPr="006523FD">
        <w:rPr>
          <w:bCs/>
          <w:sz w:val="27"/>
          <w:szCs w:val="27"/>
          <w:lang w:val="nl-BE"/>
        </w:rPr>
        <w:t>Niet-consensuele seksuele handelingen gepleegd onder bedreiging van een wapen of op een wapen gelijkend voorwerp of na toediening van weerloosmakende of remmingsverlagende stoffen</w:t>
      </w:r>
    </w:p>
    <w:p w14:paraId="17DB801A" w14:textId="77777777" w:rsidR="00044D70" w:rsidRPr="006523FD" w:rsidRDefault="00044D70" w:rsidP="009C15CF">
      <w:pPr>
        <w:jc w:val="both"/>
        <w:rPr>
          <w:rFonts w:cstheme="minorHAnsi"/>
          <w:lang w:val="nl-BE"/>
        </w:rPr>
      </w:pPr>
    </w:p>
    <w:p w14:paraId="1F290361" w14:textId="65816EFF" w:rsidR="009B112A" w:rsidRPr="006523FD" w:rsidRDefault="009B112A" w:rsidP="009C15CF">
      <w:pPr>
        <w:jc w:val="both"/>
        <w:rPr>
          <w:rFonts w:cstheme="minorHAnsi"/>
          <w:lang w:val="nl-BE"/>
        </w:rPr>
      </w:pPr>
      <w:r w:rsidRPr="006523FD">
        <w:rPr>
          <w:rFonts w:cstheme="minorHAnsi"/>
          <w:lang w:val="nl-BE"/>
        </w:rPr>
        <w:t>Deze verzwarende omstandighe</w:t>
      </w:r>
      <w:r w:rsidR="006B73F3" w:rsidRPr="006523FD">
        <w:rPr>
          <w:rFonts w:cstheme="minorHAnsi"/>
          <w:lang w:val="nl-BE"/>
        </w:rPr>
        <w:t>i</w:t>
      </w:r>
      <w:r w:rsidRPr="006523FD">
        <w:rPr>
          <w:rFonts w:cstheme="minorHAnsi"/>
          <w:lang w:val="nl-BE"/>
        </w:rPr>
        <w:t>d</w:t>
      </w:r>
      <w:r w:rsidR="006B73F3" w:rsidRPr="006523FD">
        <w:rPr>
          <w:rFonts w:cstheme="minorHAnsi"/>
          <w:lang w:val="nl-BE"/>
        </w:rPr>
        <w:t xml:space="preserve"> </w:t>
      </w:r>
      <w:r w:rsidRPr="006523FD">
        <w:rPr>
          <w:rFonts w:cstheme="minorHAnsi"/>
          <w:lang w:val="nl-BE"/>
        </w:rPr>
        <w:t xml:space="preserve">is enkel mogelijk </w:t>
      </w:r>
      <w:r w:rsidR="004622C6" w:rsidRPr="006523FD">
        <w:rPr>
          <w:rFonts w:cstheme="minorHAnsi"/>
          <w:lang w:val="nl-BE"/>
        </w:rPr>
        <w:t xml:space="preserve">in geval van </w:t>
      </w:r>
      <w:r w:rsidRPr="006523FD">
        <w:rPr>
          <w:rFonts w:cstheme="minorHAnsi"/>
          <w:lang w:val="nl-BE"/>
        </w:rPr>
        <w:t>aantasting van de seksuele integriteit en verkrachting.</w:t>
      </w:r>
    </w:p>
    <w:p w14:paraId="0373639A" w14:textId="367E008F" w:rsidR="009B112A" w:rsidRPr="006523FD" w:rsidRDefault="009B112A" w:rsidP="009C15CF">
      <w:pPr>
        <w:jc w:val="both"/>
        <w:rPr>
          <w:rFonts w:cstheme="minorHAnsi"/>
          <w:lang w:val="nl-BE"/>
        </w:rPr>
      </w:pPr>
      <w:r w:rsidRPr="006523FD">
        <w:rPr>
          <w:lang w:val="nl-BE"/>
        </w:rPr>
        <w:t>Het toedienen van weerloosmakende of remmingsverlagende stoffen wordt toegevoegd</w:t>
      </w:r>
      <w:r w:rsidR="004622C6" w:rsidRPr="006523FD">
        <w:rPr>
          <w:lang w:val="nl-BE"/>
        </w:rPr>
        <w:t xml:space="preserve"> als verzwarende omstandigheid</w:t>
      </w:r>
      <w:r w:rsidRPr="006523FD">
        <w:rPr>
          <w:lang w:val="nl-BE"/>
        </w:rPr>
        <w:t xml:space="preserve">. De wetgever beoogt zo de hypothese waarin de </w:t>
      </w:r>
      <w:r w:rsidRPr="006523FD">
        <w:rPr>
          <w:b/>
          <w:bCs/>
          <w:lang w:val="nl-BE"/>
        </w:rPr>
        <w:t>dader</w:t>
      </w:r>
      <w:r w:rsidRPr="006523FD">
        <w:rPr>
          <w:lang w:val="nl-BE"/>
        </w:rPr>
        <w:t xml:space="preserve"> de stof in het geheim of onder dwang </w:t>
      </w:r>
      <w:r w:rsidRPr="006523FD">
        <w:rPr>
          <w:b/>
          <w:bCs/>
          <w:lang w:val="nl-BE"/>
        </w:rPr>
        <w:t>toedient of laat toedienen</w:t>
      </w:r>
      <w:r w:rsidRPr="006523FD">
        <w:rPr>
          <w:lang w:val="nl-BE"/>
        </w:rPr>
        <w:t xml:space="preserve"> </w:t>
      </w:r>
      <w:r w:rsidR="003C388E" w:rsidRPr="006523FD">
        <w:rPr>
          <w:lang w:val="nl-BE"/>
        </w:rPr>
        <w:t>m</w:t>
      </w:r>
      <w:r w:rsidRPr="006523FD">
        <w:rPr>
          <w:lang w:val="nl-BE"/>
        </w:rPr>
        <w:t xml:space="preserve">et de bedoeling het slachtoffer seksueel te misbruiken. </w:t>
      </w:r>
      <w:r w:rsidRPr="006523FD">
        <w:rPr>
          <w:b/>
          <w:bCs/>
          <w:lang w:val="nl-BE"/>
        </w:rPr>
        <w:t xml:space="preserve">Alcohol </w:t>
      </w:r>
      <w:r w:rsidRPr="006523FD">
        <w:rPr>
          <w:lang w:val="nl-BE"/>
        </w:rPr>
        <w:t>kan eveneens beschouwd worden als een stof van dit type, maar voor de toepassing van deze verzwarende omstandigheid kan de hypothese waarin het slachtoffer de stof vrijwillig inneemt niet in aanmerking genomen worden (in een dergelijk geval is het dan ook eerder aangewezen om uit te gaan van de afwezigheid van toestemming</w:t>
      </w:r>
      <w:r w:rsidR="006E7C04" w:rsidRPr="006523FD">
        <w:rPr>
          <w:lang w:val="nl-BE"/>
        </w:rPr>
        <w:t xml:space="preserve"> en/of de kwetsbare toestand</w:t>
      </w:r>
      <w:r w:rsidR="004622C6" w:rsidRPr="006523FD">
        <w:rPr>
          <w:lang w:val="nl-BE"/>
        </w:rPr>
        <w:t xml:space="preserve"> in hoofde van het slachtoffer</w:t>
      </w:r>
      <w:r w:rsidRPr="006523FD">
        <w:rPr>
          <w:lang w:val="nl-BE"/>
        </w:rPr>
        <w:t>).</w:t>
      </w:r>
    </w:p>
    <w:p w14:paraId="7CC0C9BB" w14:textId="77777777" w:rsidR="009B112A" w:rsidRPr="0069784D" w:rsidRDefault="009B112A" w:rsidP="009C15CF">
      <w:pPr>
        <w:jc w:val="both"/>
        <w:rPr>
          <w:lang w:val="nl-BE"/>
        </w:rPr>
      </w:pPr>
    </w:p>
    <w:p w14:paraId="0B081362" w14:textId="77777777" w:rsidR="009B112A" w:rsidRPr="0069784D" w:rsidRDefault="009B112A" w:rsidP="009C15CF">
      <w:pPr>
        <w:jc w:val="both"/>
        <w:rPr>
          <w:bCs/>
          <w:sz w:val="28"/>
          <w:szCs w:val="28"/>
          <w:lang w:val="nl-BE"/>
        </w:rPr>
      </w:pPr>
      <w:r w:rsidRPr="0069784D">
        <w:rPr>
          <w:bCs/>
          <w:color w:val="000000"/>
          <w:sz w:val="28"/>
          <w:szCs w:val="28"/>
          <w:lang w:val="nl-BE"/>
        </w:rPr>
        <w:t xml:space="preserve">Artikel 417/15 - </w:t>
      </w:r>
      <w:r w:rsidRPr="0069784D">
        <w:rPr>
          <w:bCs/>
          <w:color w:val="000000"/>
          <w:sz w:val="27"/>
          <w:szCs w:val="27"/>
          <w:lang w:val="nl-BE"/>
        </w:rPr>
        <w:t>Niet-consensuele seksuele handelingen gepleegd ten nadele van een persoon die in een kwetsbare toestand verkeert</w:t>
      </w:r>
    </w:p>
    <w:p w14:paraId="305C9EDF" w14:textId="77777777" w:rsidR="00044D70" w:rsidRPr="0069784D" w:rsidRDefault="00044D70" w:rsidP="009C15CF">
      <w:pPr>
        <w:jc w:val="both"/>
        <w:rPr>
          <w:lang w:val="nl-BE"/>
        </w:rPr>
      </w:pPr>
    </w:p>
    <w:p w14:paraId="4FDC413C" w14:textId="28D9996C" w:rsidR="009B112A" w:rsidRPr="006523FD" w:rsidRDefault="009B112A" w:rsidP="009C15CF">
      <w:pPr>
        <w:jc w:val="both"/>
        <w:rPr>
          <w:lang w:val="nl-BE"/>
        </w:rPr>
      </w:pPr>
      <w:r w:rsidRPr="0069784D">
        <w:rPr>
          <w:lang w:val="nl-BE"/>
        </w:rPr>
        <w:t xml:space="preserve">Het gaat hier om de kwetsbaarheid in de zin van het vroegere artikel 376 van het Strafwetboek, zijnde de kwetsbaarheid omwille van de leeftijd, zwangerschap, ziekte of een lichamelijk of geestelijk gebrek. Het begrip ‘onvolkomenheid’ </w:t>
      </w:r>
      <w:r w:rsidRPr="006523FD">
        <w:rPr>
          <w:lang w:val="nl-BE"/>
        </w:rPr>
        <w:t xml:space="preserve">wordt niet langer gehanteerd, </w:t>
      </w:r>
      <w:r w:rsidR="006E4ED5" w:rsidRPr="006523FD">
        <w:rPr>
          <w:lang w:val="nl-BE"/>
        </w:rPr>
        <w:t xml:space="preserve">gezien </w:t>
      </w:r>
      <w:r w:rsidRPr="006523FD">
        <w:rPr>
          <w:lang w:val="nl-BE"/>
        </w:rPr>
        <w:t xml:space="preserve">er </w:t>
      </w:r>
      <w:r w:rsidR="006E4ED5" w:rsidRPr="006523FD">
        <w:rPr>
          <w:lang w:val="nl-BE"/>
        </w:rPr>
        <w:t xml:space="preserve">van uit </w:t>
      </w:r>
      <w:r w:rsidRPr="006523FD">
        <w:rPr>
          <w:lang w:val="nl-BE"/>
        </w:rPr>
        <w:t>wordt gegaan dat dit onder het begrip ‘gebrek’ valt</w:t>
      </w:r>
      <w:r w:rsidR="006E7C04" w:rsidRPr="006523FD">
        <w:rPr>
          <w:rStyle w:val="FootnoteReference"/>
          <w:lang w:val="nl-BE"/>
        </w:rPr>
        <w:footnoteReference w:customMarkFollows="1" w:id="54"/>
        <w:t>54</w:t>
      </w:r>
      <w:r w:rsidRPr="006523FD">
        <w:rPr>
          <w:lang w:val="nl-BE"/>
        </w:rPr>
        <w:t>.</w:t>
      </w:r>
    </w:p>
    <w:p w14:paraId="4FBF8233" w14:textId="22B4BC9B" w:rsidR="009B112A" w:rsidRPr="0069784D" w:rsidRDefault="006E4ED5" w:rsidP="009C15CF">
      <w:pPr>
        <w:jc w:val="both"/>
        <w:rPr>
          <w:lang w:val="nl-BE"/>
        </w:rPr>
      </w:pPr>
      <w:r w:rsidRPr="006523FD">
        <w:rPr>
          <w:lang w:val="nl-BE"/>
        </w:rPr>
        <w:t>I</w:t>
      </w:r>
      <w:r w:rsidR="009B112A" w:rsidRPr="006523FD">
        <w:rPr>
          <w:lang w:val="nl-BE"/>
        </w:rPr>
        <w:t xml:space="preserve">n de Franse tekst </w:t>
      </w:r>
      <w:r w:rsidR="004E5962" w:rsidRPr="006523FD">
        <w:rPr>
          <w:lang w:val="nl-BE"/>
        </w:rPr>
        <w:t>werd de bewoording ‘</w:t>
      </w:r>
      <w:r w:rsidR="009B112A" w:rsidRPr="006523FD">
        <w:rPr>
          <w:i/>
          <w:iCs/>
          <w:lang w:val="nl-BE"/>
        </w:rPr>
        <w:t>apparente</w:t>
      </w:r>
      <w:r w:rsidR="004E5962" w:rsidRPr="006523FD">
        <w:rPr>
          <w:i/>
          <w:iCs/>
          <w:lang w:val="nl-BE"/>
        </w:rPr>
        <w:t>’</w:t>
      </w:r>
      <w:r w:rsidR="009B112A" w:rsidRPr="006523FD">
        <w:rPr>
          <w:lang w:val="nl-BE"/>
        </w:rPr>
        <w:t xml:space="preserve"> vervangen door </w:t>
      </w:r>
      <w:r w:rsidR="004E5962" w:rsidRPr="006523FD">
        <w:rPr>
          <w:lang w:val="nl-BE"/>
        </w:rPr>
        <w:t>‘</w:t>
      </w:r>
      <w:r w:rsidR="009B112A" w:rsidRPr="006523FD">
        <w:rPr>
          <w:b/>
          <w:i/>
          <w:iCs/>
          <w:lang w:val="nl-BE"/>
        </w:rPr>
        <w:t>manifeste</w:t>
      </w:r>
      <w:r w:rsidR="004E5962" w:rsidRPr="006523FD">
        <w:rPr>
          <w:b/>
          <w:i/>
          <w:iCs/>
          <w:lang w:val="nl-BE"/>
        </w:rPr>
        <w:t xml:space="preserve">’, </w:t>
      </w:r>
      <w:r w:rsidR="004E5962" w:rsidRPr="006523FD">
        <w:rPr>
          <w:bCs/>
          <w:lang w:val="nl-BE"/>
        </w:rPr>
        <w:t>hetgeen veeleisender lijkt op het vlak van de bewijslast</w:t>
      </w:r>
      <w:r w:rsidR="009B112A" w:rsidRPr="006523FD">
        <w:rPr>
          <w:bCs/>
          <w:lang w:val="nl-BE"/>
        </w:rPr>
        <w:t xml:space="preserve">. In de Nederlandse </w:t>
      </w:r>
      <w:r w:rsidR="009B112A" w:rsidRPr="0069784D">
        <w:rPr>
          <w:bCs/>
          <w:lang w:val="nl-BE"/>
        </w:rPr>
        <w:t>versie bl</w:t>
      </w:r>
      <w:r w:rsidR="009B112A" w:rsidRPr="004E5962">
        <w:rPr>
          <w:bCs/>
          <w:lang w:val="nl-BE"/>
        </w:rPr>
        <w:t>ijft</w:t>
      </w:r>
      <w:r w:rsidR="009B112A" w:rsidRPr="0069784D">
        <w:rPr>
          <w:bCs/>
          <w:lang w:val="nl-BE"/>
        </w:rPr>
        <w:t xml:space="preserve"> het adjectief ‘duidelijk’ behouden. </w:t>
      </w:r>
      <w:r w:rsidR="009B112A" w:rsidRPr="0069784D">
        <w:rPr>
          <w:lang w:val="nl-BE"/>
        </w:rPr>
        <w:t xml:space="preserve"> </w:t>
      </w:r>
    </w:p>
    <w:p w14:paraId="00F2AB7C" w14:textId="77777777" w:rsidR="009B112A" w:rsidRPr="0069784D" w:rsidRDefault="009B112A" w:rsidP="009C15CF">
      <w:pPr>
        <w:jc w:val="both"/>
        <w:rPr>
          <w:lang w:val="nl-BE"/>
        </w:rPr>
      </w:pPr>
      <w:r w:rsidRPr="0069784D">
        <w:rPr>
          <w:lang w:val="nl-BE"/>
        </w:rPr>
        <w:t xml:space="preserve">In tegenstelling tot de bepalingen inzake de toestemming gaat het hierbij niet om het misbruik van de kwetsbaarheid van het slachtoffer. Het bestaan van deze kwetsbaarheid volstaat om de verzwarende </w:t>
      </w:r>
      <w:r w:rsidRPr="0069784D">
        <w:rPr>
          <w:lang w:val="nl-BE"/>
        </w:rPr>
        <w:lastRenderedPageBreak/>
        <w:t xml:space="preserve">omstandigheid toe te passen wanneer vaststaat dat er niet met de seksuele handeling ingestemd werd.  </w:t>
      </w:r>
    </w:p>
    <w:p w14:paraId="78A95610" w14:textId="0AB438F7" w:rsidR="009B112A" w:rsidRPr="006523FD" w:rsidRDefault="009B112A" w:rsidP="009C15CF">
      <w:pPr>
        <w:jc w:val="both"/>
        <w:rPr>
          <w:b/>
          <w:lang w:val="nl-BE"/>
        </w:rPr>
      </w:pPr>
      <w:r w:rsidRPr="0069784D">
        <w:rPr>
          <w:b/>
          <w:lang w:val="nl-BE"/>
        </w:rPr>
        <w:t xml:space="preserve">Opgelet: wanneer het gaat om het </w:t>
      </w:r>
      <w:r w:rsidRPr="006523FD">
        <w:rPr>
          <w:b/>
          <w:lang w:val="nl-BE"/>
        </w:rPr>
        <w:t xml:space="preserve">misdrijf </w:t>
      </w:r>
      <w:r w:rsidR="00405FDB" w:rsidRPr="006523FD">
        <w:rPr>
          <w:b/>
          <w:lang w:val="nl-BE"/>
        </w:rPr>
        <w:t>‘</w:t>
      </w:r>
      <w:r w:rsidRPr="006523FD">
        <w:rPr>
          <w:b/>
          <w:lang w:val="nl-BE"/>
        </w:rPr>
        <w:t>verkrachting</w:t>
      </w:r>
      <w:r w:rsidR="00405FDB" w:rsidRPr="006523FD">
        <w:rPr>
          <w:b/>
          <w:lang w:val="nl-BE"/>
        </w:rPr>
        <w:t>’</w:t>
      </w:r>
      <w:r w:rsidRPr="006523FD">
        <w:rPr>
          <w:b/>
          <w:lang w:val="nl-BE"/>
        </w:rPr>
        <w:t xml:space="preserve">, is correctionalisering </w:t>
      </w:r>
      <w:r w:rsidR="004E5962" w:rsidRPr="006523FD">
        <w:rPr>
          <w:b/>
          <w:lang w:val="nl-BE"/>
        </w:rPr>
        <w:t xml:space="preserve">niet langer </w:t>
      </w:r>
      <w:r w:rsidRPr="006523FD">
        <w:rPr>
          <w:b/>
          <w:lang w:val="nl-BE"/>
        </w:rPr>
        <w:t xml:space="preserve">mogelijk. </w:t>
      </w:r>
    </w:p>
    <w:p w14:paraId="13578F7D" w14:textId="77777777" w:rsidR="009B112A" w:rsidRPr="006523FD" w:rsidRDefault="009B112A" w:rsidP="009C15CF">
      <w:pPr>
        <w:jc w:val="both"/>
        <w:rPr>
          <w:lang w:val="nl-BE"/>
        </w:rPr>
      </w:pPr>
    </w:p>
    <w:p w14:paraId="21286E2D" w14:textId="77777777" w:rsidR="009B112A" w:rsidRPr="006523FD" w:rsidRDefault="009B112A" w:rsidP="009C15CF">
      <w:pPr>
        <w:jc w:val="both"/>
        <w:rPr>
          <w:bCs/>
          <w:sz w:val="28"/>
          <w:szCs w:val="28"/>
          <w:lang w:val="nl-BE"/>
        </w:rPr>
      </w:pPr>
      <w:r w:rsidRPr="006523FD">
        <w:rPr>
          <w:bCs/>
          <w:sz w:val="28"/>
          <w:szCs w:val="28"/>
          <w:lang w:val="nl-BE"/>
        </w:rPr>
        <w:t xml:space="preserve">Artikel 417/16 - </w:t>
      </w:r>
      <w:r w:rsidRPr="006523FD">
        <w:rPr>
          <w:bCs/>
          <w:sz w:val="27"/>
          <w:szCs w:val="27"/>
          <w:lang w:val="nl-BE"/>
        </w:rPr>
        <w:t>Niet-consensuele seksuele handelingen gepleegd ten nadele van een minderjarige die geen volle zestien jaar oud is</w:t>
      </w:r>
    </w:p>
    <w:p w14:paraId="13DCC598" w14:textId="77777777" w:rsidR="00044D70" w:rsidRPr="006523FD" w:rsidRDefault="00044D70" w:rsidP="009C15CF">
      <w:pPr>
        <w:jc w:val="both"/>
        <w:rPr>
          <w:b/>
          <w:lang w:val="nl-BE"/>
        </w:rPr>
      </w:pPr>
    </w:p>
    <w:p w14:paraId="27177DEE" w14:textId="3EFA071D" w:rsidR="009B112A" w:rsidRPr="006523FD" w:rsidRDefault="009B112A" w:rsidP="009C15CF">
      <w:pPr>
        <w:jc w:val="both"/>
        <w:rPr>
          <w:b/>
          <w:lang w:val="nl-BE"/>
        </w:rPr>
      </w:pPr>
      <w:r w:rsidRPr="006523FD">
        <w:rPr>
          <w:b/>
          <w:lang w:val="nl-BE"/>
        </w:rPr>
        <w:t xml:space="preserve">Opgelet: wanneer het gaat om het misdrijf </w:t>
      </w:r>
      <w:r w:rsidR="00405FDB" w:rsidRPr="006523FD">
        <w:rPr>
          <w:b/>
          <w:lang w:val="nl-BE"/>
        </w:rPr>
        <w:t>‘</w:t>
      </w:r>
      <w:r w:rsidRPr="006523FD">
        <w:rPr>
          <w:b/>
          <w:lang w:val="nl-BE"/>
        </w:rPr>
        <w:t>verkrachting</w:t>
      </w:r>
      <w:r w:rsidR="00405FDB" w:rsidRPr="006523FD">
        <w:rPr>
          <w:b/>
          <w:lang w:val="nl-BE"/>
        </w:rPr>
        <w:t>’</w:t>
      </w:r>
      <w:r w:rsidRPr="006523FD">
        <w:rPr>
          <w:b/>
          <w:lang w:val="nl-BE"/>
        </w:rPr>
        <w:t xml:space="preserve">, is hoegenaamd niet duidelijk of correctionalisering </w:t>
      </w:r>
      <w:r w:rsidR="004E5962" w:rsidRPr="006523FD">
        <w:rPr>
          <w:b/>
          <w:lang w:val="nl-BE"/>
        </w:rPr>
        <w:t xml:space="preserve">nog </w:t>
      </w:r>
      <w:r w:rsidRPr="006523FD">
        <w:rPr>
          <w:b/>
          <w:lang w:val="nl-BE"/>
        </w:rPr>
        <w:t>mogelijk is.</w:t>
      </w:r>
    </w:p>
    <w:p w14:paraId="4B46D52C" w14:textId="77777777" w:rsidR="009B112A" w:rsidRPr="0069784D" w:rsidRDefault="009B112A" w:rsidP="009C15CF">
      <w:pPr>
        <w:jc w:val="both"/>
        <w:rPr>
          <w:lang w:val="nl-BE"/>
        </w:rPr>
      </w:pPr>
      <w:r w:rsidRPr="0069784D">
        <w:rPr>
          <w:lang w:val="nl-BE"/>
        </w:rPr>
        <w:t>De wet legt voor dit misdrijf een opsluiting van 20 tot 30 jaar op.</w:t>
      </w:r>
    </w:p>
    <w:p w14:paraId="776CDE49" w14:textId="215301B3" w:rsidR="009B112A" w:rsidRPr="006523FD" w:rsidRDefault="009B112A" w:rsidP="009C15CF">
      <w:pPr>
        <w:jc w:val="both"/>
        <w:rPr>
          <w:lang w:val="nl-BE"/>
        </w:rPr>
      </w:pPr>
      <w:r w:rsidRPr="0069784D">
        <w:rPr>
          <w:lang w:val="nl-BE"/>
        </w:rPr>
        <w:t xml:space="preserve">De wet van 4 oktober </w:t>
      </w:r>
      <w:r w:rsidRPr="006523FD">
        <w:rPr>
          <w:lang w:val="nl-BE"/>
        </w:rPr>
        <w:t xml:space="preserve">1867 op de verzachtende omstandigheden werd </w:t>
      </w:r>
      <w:r w:rsidR="004E5962" w:rsidRPr="006523FD">
        <w:rPr>
          <w:lang w:val="nl-BE"/>
        </w:rPr>
        <w:t xml:space="preserve">echter </w:t>
      </w:r>
      <w:r w:rsidRPr="006523FD">
        <w:rPr>
          <w:lang w:val="nl-BE"/>
        </w:rPr>
        <w:t xml:space="preserve">niet gewijzigd. </w:t>
      </w:r>
    </w:p>
    <w:p w14:paraId="2698868A" w14:textId="0D6E19BD" w:rsidR="009B112A" w:rsidRPr="006523FD" w:rsidRDefault="009B112A" w:rsidP="009C15CF">
      <w:pPr>
        <w:jc w:val="both"/>
        <w:rPr>
          <w:lang w:val="nl-BE"/>
        </w:rPr>
      </w:pPr>
      <w:r w:rsidRPr="006523FD">
        <w:rPr>
          <w:lang w:val="nl-BE"/>
        </w:rPr>
        <w:t xml:space="preserve">Artikel 2, 5° van </w:t>
      </w:r>
      <w:r w:rsidR="004E5962" w:rsidRPr="006523FD">
        <w:rPr>
          <w:lang w:val="nl-BE"/>
        </w:rPr>
        <w:t>voormelde</w:t>
      </w:r>
      <w:r w:rsidRPr="006523FD">
        <w:rPr>
          <w:lang w:val="nl-BE"/>
        </w:rPr>
        <w:t xml:space="preserve"> wet maakte, </w:t>
      </w:r>
      <w:r w:rsidR="004E5962" w:rsidRPr="006523FD">
        <w:rPr>
          <w:lang w:val="nl-BE"/>
        </w:rPr>
        <w:t xml:space="preserve">onder </w:t>
      </w:r>
      <w:r w:rsidRPr="006523FD">
        <w:rPr>
          <w:lang w:val="nl-BE"/>
        </w:rPr>
        <w:t xml:space="preserve">verwijzing naar het vroegere artikel 375, laatste lid, correctionalisering mogelijk </w:t>
      </w:r>
      <w:r w:rsidR="004E5962" w:rsidRPr="006523FD">
        <w:rPr>
          <w:lang w:val="nl-BE"/>
        </w:rPr>
        <w:t xml:space="preserve">in geval van </w:t>
      </w:r>
      <w:r w:rsidRPr="006523FD">
        <w:rPr>
          <w:lang w:val="nl-BE"/>
        </w:rPr>
        <w:t xml:space="preserve">verkrachting van een minderjarige die de volle leeftijd van 10 jaar nog niet bereikt heeft. </w:t>
      </w:r>
    </w:p>
    <w:p w14:paraId="446E24E3" w14:textId="77777777" w:rsidR="009B112A" w:rsidRPr="0069784D" w:rsidRDefault="009B112A" w:rsidP="009C15CF">
      <w:pPr>
        <w:jc w:val="both"/>
        <w:rPr>
          <w:i/>
          <w:iCs/>
          <w:color w:val="000000"/>
          <w:lang w:val="nl-BE"/>
        </w:rPr>
      </w:pPr>
      <w:r w:rsidRPr="0069784D">
        <w:rPr>
          <w:lang w:val="nl-BE"/>
        </w:rPr>
        <w:t xml:space="preserve">Artikel 116 van de wet van 21 maart 2022 stelt evenwel het volgende: </w:t>
      </w:r>
      <w:r w:rsidRPr="0069784D">
        <w:rPr>
          <w:i/>
          <w:iCs/>
          <w:lang w:val="nl-BE"/>
        </w:rPr>
        <w:t>“</w:t>
      </w:r>
      <w:r w:rsidRPr="0069784D">
        <w:rPr>
          <w:i/>
          <w:iCs/>
          <w:color w:val="000000"/>
          <w:lang w:val="nl-BE"/>
        </w:rPr>
        <w:t xml:space="preserve">Verwijzingen naar de artikelen 371/1, 371/2, 371/3, 372, 373, </w:t>
      </w:r>
      <w:r w:rsidRPr="006523FD">
        <w:rPr>
          <w:i/>
          <w:iCs/>
          <w:lang w:val="nl-BE"/>
        </w:rPr>
        <w:t>374,</w:t>
      </w:r>
      <w:r w:rsidRPr="006523FD">
        <w:rPr>
          <w:b/>
          <w:bCs/>
          <w:i/>
          <w:iCs/>
          <w:lang w:val="nl-BE"/>
        </w:rPr>
        <w:t xml:space="preserve"> 375</w:t>
      </w:r>
      <w:r w:rsidRPr="006523FD">
        <w:rPr>
          <w:i/>
          <w:iCs/>
          <w:lang w:val="nl-BE"/>
        </w:rPr>
        <w:t>, 376</w:t>
      </w:r>
      <w:r w:rsidRPr="0069784D">
        <w:rPr>
          <w:i/>
          <w:iCs/>
          <w:color w:val="000000"/>
          <w:lang w:val="nl-BE"/>
        </w:rPr>
        <w:t xml:space="preserve">, 377, 377bis, 377ter, 377quater, 378, 378bis, 379, 380, 380bis, 380ter, 381, 382, 382bis, 382ter, 382quater, 382quinquies, 383, 383bis, 383bis/1, 384, 385, 386, 387, 388, 389 van het Strafwetboek, onderverdelingen of samenvoegingen daarvan, die zijn opgenomen in bestaande wetboeken, wetten of uitvoeringsbesluiten, worden geacht te verwijzen naar de overeenkomstige bepalingen in hoofdstuk I/1 of in hoofdstuk IIIbis/1 van titel VIII van boek 2 van het Strafwetboek, onderverdelingen of samenvoegingen daarvan, overeenkomstig de </w:t>
      </w:r>
      <w:r w:rsidRPr="0069784D">
        <w:rPr>
          <w:b/>
          <w:bCs/>
          <w:i/>
          <w:iCs/>
          <w:color w:val="000000"/>
          <w:lang w:val="nl-BE"/>
        </w:rPr>
        <w:t xml:space="preserve">concordantietabel </w:t>
      </w:r>
      <w:r w:rsidRPr="0069784D">
        <w:rPr>
          <w:i/>
          <w:iCs/>
          <w:color w:val="000000"/>
          <w:lang w:val="nl-BE"/>
        </w:rPr>
        <w:t>in bijlage bij deze wet.”</w:t>
      </w:r>
    </w:p>
    <w:p w14:paraId="508A009D" w14:textId="0DE8BB2E" w:rsidR="009B112A" w:rsidRPr="0069784D" w:rsidRDefault="009B112A" w:rsidP="009C15CF">
      <w:pPr>
        <w:pStyle w:val="FootnoteText"/>
        <w:jc w:val="both"/>
        <w:rPr>
          <w:iCs/>
          <w:color w:val="000000"/>
          <w:sz w:val="22"/>
          <w:szCs w:val="22"/>
          <w:lang w:val="nl-BE"/>
        </w:rPr>
      </w:pPr>
      <w:r w:rsidRPr="0069784D">
        <w:rPr>
          <w:iCs/>
          <w:color w:val="000000"/>
          <w:sz w:val="22"/>
          <w:szCs w:val="22"/>
          <w:lang w:val="nl-BE"/>
        </w:rPr>
        <w:t xml:space="preserve">Deze </w:t>
      </w:r>
      <w:r w:rsidRPr="006523FD">
        <w:rPr>
          <w:iCs/>
          <w:sz w:val="22"/>
          <w:szCs w:val="22"/>
          <w:lang w:val="nl-BE"/>
        </w:rPr>
        <w:t>concordantietabel</w:t>
      </w:r>
      <w:r w:rsidR="006E7C04" w:rsidRPr="006523FD">
        <w:rPr>
          <w:rStyle w:val="FootnoteReference"/>
          <w:iCs/>
          <w:sz w:val="22"/>
          <w:szCs w:val="22"/>
          <w:lang w:val="nl-BE"/>
        </w:rPr>
        <w:footnoteReference w:customMarkFollows="1" w:id="55"/>
        <w:t>55</w:t>
      </w:r>
      <w:r w:rsidRPr="006523FD">
        <w:rPr>
          <w:iCs/>
          <w:sz w:val="22"/>
          <w:szCs w:val="22"/>
          <w:lang w:val="nl-BE"/>
        </w:rPr>
        <w:t xml:space="preserve"> </w:t>
      </w:r>
      <w:r w:rsidR="00187FFC" w:rsidRPr="006523FD">
        <w:rPr>
          <w:iCs/>
          <w:sz w:val="22"/>
          <w:szCs w:val="22"/>
          <w:lang w:val="nl-BE"/>
        </w:rPr>
        <w:t xml:space="preserve">koppelt </w:t>
      </w:r>
      <w:r w:rsidRPr="006523FD">
        <w:rPr>
          <w:iCs/>
          <w:sz w:val="22"/>
          <w:szCs w:val="22"/>
          <w:lang w:val="nl-BE"/>
        </w:rPr>
        <w:t xml:space="preserve">de artikelen 417/16 en 417/17 </w:t>
      </w:r>
      <w:r w:rsidR="00187FFC" w:rsidRPr="006523FD">
        <w:rPr>
          <w:iCs/>
          <w:sz w:val="22"/>
          <w:szCs w:val="22"/>
          <w:lang w:val="nl-BE"/>
        </w:rPr>
        <w:t xml:space="preserve">in dat verband aan </w:t>
      </w:r>
      <w:r w:rsidRPr="006523FD">
        <w:rPr>
          <w:iCs/>
          <w:sz w:val="22"/>
          <w:szCs w:val="22"/>
          <w:lang w:val="nl-BE"/>
        </w:rPr>
        <w:t>artikel 375, lid 4 e.v.</w:t>
      </w:r>
    </w:p>
    <w:p w14:paraId="5946734E" w14:textId="77777777" w:rsidR="009B112A" w:rsidRPr="0069784D" w:rsidRDefault="009B112A" w:rsidP="009C15CF">
      <w:pPr>
        <w:pStyle w:val="FootnoteText"/>
        <w:jc w:val="both"/>
        <w:rPr>
          <w:iCs/>
          <w:color w:val="000000"/>
          <w:sz w:val="22"/>
          <w:szCs w:val="22"/>
          <w:lang w:val="nl-BE"/>
        </w:rPr>
      </w:pPr>
    </w:p>
    <w:p w14:paraId="7EC2633B" w14:textId="1C07D410" w:rsidR="009B112A" w:rsidRPr="006523FD" w:rsidRDefault="009B112A" w:rsidP="009C15CF">
      <w:pPr>
        <w:pStyle w:val="FootnoteText"/>
        <w:jc w:val="both"/>
        <w:rPr>
          <w:b/>
          <w:iCs/>
          <w:sz w:val="22"/>
          <w:szCs w:val="22"/>
          <w:lang w:val="nl-BE"/>
        </w:rPr>
      </w:pPr>
      <w:r w:rsidRPr="0069784D">
        <w:rPr>
          <w:b/>
          <w:iCs/>
          <w:color w:val="000000"/>
          <w:sz w:val="22"/>
          <w:szCs w:val="22"/>
          <w:lang w:val="nl-BE"/>
        </w:rPr>
        <w:t xml:space="preserve">Het lijkt mogelijk om hieruit af te leiden dat artikel 2, 5° van de wet op de verzachtende omstandigheden voortaan betrekking heeft op alle seksuele handelingen op een minderjarige waarmee niet toegestemd werd, en </w:t>
      </w:r>
      <w:r w:rsidRPr="006523FD">
        <w:rPr>
          <w:b/>
          <w:iCs/>
          <w:sz w:val="22"/>
          <w:szCs w:val="22"/>
          <w:lang w:val="nl-BE"/>
        </w:rPr>
        <w:t xml:space="preserve">dit ongeacht diens leeftijd, waardoor correctionalisering </w:t>
      </w:r>
      <w:r w:rsidR="004E5962" w:rsidRPr="006523FD">
        <w:rPr>
          <w:b/>
          <w:iCs/>
          <w:sz w:val="22"/>
          <w:szCs w:val="22"/>
          <w:lang w:val="nl-BE"/>
        </w:rPr>
        <w:t xml:space="preserve">ook </w:t>
      </w:r>
      <w:r w:rsidRPr="006523FD">
        <w:rPr>
          <w:b/>
          <w:iCs/>
          <w:sz w:val="22"/>
          <w:szCs w:val="22"/>
          <w:lang w:val="nl-BE"/>
        </w:rPr>
        <w:t xml:space="preserve">mogelijk wordt </w:t>
      </w:r>
      <w:r w:rsidR="004E5962" w:rsidRPr="006523FD">
        <w:rPr>
          <w:b/>
          <w:iCs/>
          <w:sz w:val="22"/>
          <w:szCs w:val="22"/>
          <w:lang w:val="nl-BE"/>
        </w:rPr>
        <w:t xml:space="preserve">in geval van </w:t>
      </w:r>
      <w:r w:rsidRPr="006523FD">
        <w:rPr>
          <w:b/>
          <w:iCs/>
          <w:sz w:val="22"/>
          <w:szCs w:val="22"/>
          <w:lang w:val="nl-BE"/>
        </w:rPr>
        <w:t xml:space="preserve">verkrachting van een minderjarige jonger dan 16 jaar. </w:t>
      </w:r>
    </w:p>
    <w:p w14:paraId="0265BDDB" w14:textId="77777777" w:rsidR="009B112A" w:rsidRPr="006523FD" w:rsidRDefault="009B112A" w:rsidP="009C15CF">
      <w:pPr>
        <w:pStyle w:val="FootnoteText"/>
        <w:jc w:val="both"/>
        <w:rPr>
          <w:b/>
          <w:iCs/>
          <w:sz w:val="22"/>
          <w:szCs w:val="22"/>
          <w:lang w:val="nl-BE"/>
        </w:rPr>
      </w:pPr>
    </w:p>
    <w:p w14:paraId="143131EF" w14:textId="228BF636" w:rsidR="009B112A" w:rsidRPr="006523FD" w:rsidRDefault="009B112A" w:rsidP="009C15CF">
      <w:pPr>
        <w:jc w:val="both"/>
        <w:rPr>
          <w:b/>
          <w:lang w:val="nl-BE"/>
        </w:rPr>
      </w:pPr>
      <w:r w:rsidRPr="006523FD">
        <w:rPr>
          <w:b/>
          <w:lang w:val="nl-BE"/>
        </w:rPr>
        <w:t xml:space="preserve">Het valt niettemin te betreuren dat deze conclusie uit een dergelijke redenering dient te volgen </w:t>
      </w:r>
      <w:r w:rsidR="00187FFC" w:rsidRPr="006523FD">
        <w:rPr>
          <w:b/>
          <w:lang w:val="nl-BE"/>
        </w:rPr>
        <w:t>H</w:t>
      </w:r>
      <w:r w:rsidRPr="006523FD">
        <w:rPr>
          <w:b/>
          <w:lang w:val="nl-BE"/>
        </w:rPr>
        <w:t xml:space="preserve">et </w:t>
      </w:r>
      <w:r w:rsidR="00187FFC" w:rsidRPr="006523FD">
        <w:rPr>
          <w:b/>
          <w:lang w:val="nl-BE"/>
        </w:rPr>
        <w:t>lijkt</w:t>
      </w:r>
      <w:r w:rsidRPr="006523FD">
        <w:rPr>
          <w:b/>
          <w:lang w:val="nl-BE"/>
        </w:rPr>
        <w:t xml:space="preserve"> dan ook aangewezen dat de wetgever één en ander </w:t>
      </w:r>
      <w:r w:rsidR="00187FFC" w:rsidRPr="006523FD">
        <w:rPr>
          <w:b/>
          <w:lang w:val="nl-BE"/>
        </w:rPr>
        <w:t>verduidelijkt.</w:t>
      </w:r>
    </w:p>
    <w:p w14:paraId="5E365699" w14:textId="2BCD180D" w:rsidR="00852CDA" w:rsidRPr="006523FD" w:rsidRDefault="00852CDA" w:rsidP="009C15CF">
      <w:pPr>
        <w:jc w:val="both"/>
        <w:rPr>
          <w:b/>
          <w:lang w:val="nl-BE"/>
        </w:rPr>
      </w:pPr>
      <w:r w:rsidRPr="006523FD">
        <w:rPr>
          <w:b/>
          <w:lang w:val="nl-BE"/>
        </w:rPr>
        <w:t>Tot slot dient er nog op te worden gewezen dat dergelijke zaken dienen te worden toebedeeld aan een correctionele kamer met drie rechters (artikel 982 Ger. W.)</w:t>
      </w:r>
    </w:p>
    <w:p w14:paraId="005C71E8" w14:textId="77777777" w:rsidR="00852CDA" w:rsidRDefault="00852CDA" w:rsidP="009C15CF">
      <w:pPr>
        <w:jc w:val="both"/>
        <w:rPr>
          <w:bCs/>
          <w:color w:val="000000"/>
          <w:sz w:val="28"/>
          <w:szCs w:val="28"/>
          <w:lang w:val="nl-BE"/>
        </w:rPr>
      </w:pPr>
    </w:p>
    <w:p w14:paraId="6B72F041" w14:textId="58C7A360" w:rsidR="009B112A" w:rsidRPr="0069784D" w:rsidRDefault="009B112A" w:rsidP="009C15CF">
      <w:pPr>
        <w:jc w:val="both"/>
        <w:rPr>
          <w:bCs/>
          <w:sz w:val="28"/>
          <w:szCs w:val="28"/>
          <w:lang w:val="nl-BE"/>
        </w:rPr>
      </w:pPr>
      <w:r w:rsidRPr="0069784D">
        <w:rPr>
          <w:bCs/>
          <w:color w:val="000000"/>
          <w:sz w:val="28"/>
          <w:szCs w:val="28"/>
          <w:lang w:val="nl-BE"/>
        </w:rPr>
        <w:t xml:space="preserve">Artikel 417/17 - </w:t>
      </w:r>
      <w:r w:rsidRPr="0069784D">
        <w:rPr>
          <w:bCs/>
          <w:color w:val="000000"/>
          <w:sz w:val="27"/>
          <w:szCs w:val="27"/>
          <w:lang w:val="nl-BE"/>
        </w:rPr>
        <w:t>Niet-consensuele seksuele handelingen gepleegd ten nadele van een minderjarige boven de volle leeftijd van zestien jaar</w:t>
      </w:r>
    </w:p>
    <w:p w14:paraId="3377EC9E" w14:textId="77777777" w:rsidR="009B112A" w:rsidRPr="0069784D" w:rsidRDefault="009B112A" w:rsidP="009C15CF">
      <w:pPr>
        <w:jc w:val="both"/>
        <w:rPr>
          <w:lang w:val="nl-BE"/>
        </w:rPr>
      </w:pPr>
    </w:p>
    <w:p w14:paraId="1ABD3EBF" w14:textId="77777777" w:rsidR="009B112A" w:rsidRPr="0069784D" w:rsidRDefault="009B112A" w:rsidP="009C15CF">
      <w:pPr>
        <w:jc w:val="both"/>
        <w:rPr>
          <w:bCs/>
          <w:sz w:val="28"/>
          <w:szCs w:val="28"/>
          <w:lang w:val="nl-BE"/>
        </w:rPr>
      </w:pPr>
      <w:r w:rsidRPr="0069784D">
        <w:rPr>
          <w:bCs/>
          <w:color w:val="000000"/>
          <w:sz w:val="28"/>
          <w:szCs w:val="28"/>
          <w:lang w:val="nl-BE"/>
        </w:rPr>
        <w:t xml:space="preserve">Artikel 417/18 - </w:t>
      </w:r>
      <w:r w:rsidRPr="0069784D">
        <w:rPr>
          <w:bCs/>
          <w:sz w:val="28"/>
          <w:szCs w:val="28"/>
          <w:lang w:val="nl-BE"/>
        </w:rPr>
        <w:t xml:space="preserve">Incest </w:t>
      </w:r>
    </w:p>
    <w:p w14:paraId="0227DD1B" w14:textId="77777777" w:rsidR="00044D70" w:rsidRPr="0069784D" w:rsidRDefault="00044D70" w:rsidP="009C15CF">
      <w:pPr>
        <w:jc w:val="both"/>
        <w:rPr>
          <w:lang w:val="nl-BE"/>
        </w:rPr>
      </w:pPr>
    </w:p>
    <w:p w14:paraId="691CD497" w14:textId="01F07E3F" w:rsidR="009B112A" w:rsidRPr="0069784D" w:rsidRDefault="009B112A" w:rsidP="009C15CF">
      <w:pPr>
        <w:jc w:val="both"/>
        <w:rPr>
          <w:lang w:val="nl-BE"/>
        </w:rPr>
      </w:pPr>
      <w:r w:rsidRPr="0069784D">
        <w:rPr>
          <w:lang w:val="nl-BE"/>
        </w:rPr>
        <w:t>De wetgever heeft de intentie om via deze verzwarende omstandig</w:t>
      </w:r>
      <w:r w:rsidR="003C388E" w:rsidRPr="0069784D">
        <w:rPr>
          <w:lang w:val="nl-BE"/>
        </w:rPr>
        <w:t>h</w:t>
      </w:r>
      <w:r w:rsidRPr="0069784D">
        <w:rPr>
          <w:lang w:val="nl-BE"/>
        </w:rPr>
        <w:t>e</w:t>
      </w:r>
      <w:r w:rsidR="003C388E" w:rsidRPr="0069784D">
        <w:rPr>
          <w:lang w:val="nl-BE"/>
        </w:rPr>
        <w:t xml:space="preserve">id </w:t>
      </w:r>
      <w:r w:rsidRPr="0069784D">
        <w:rPr>
          <w:lang w:val="nl-BE"/>
        </w:rPr>
        <w:t xml:space="preserve">incest strafbaar te stellen. </w:t>
      </w:r>
    </w:p>
    <w:p w14:paraId="12148F55" w14:textId="10756208" w:rsidR="009B112A" w:rsidRPr="006523FD" w:rsidRDefault="00187FFC" w:rsidP="009C15CF">
      <w:pPr>
        <w:jc w:val="both"/>
        <w:rPr>
          <w:lang w:val="nl-BE"/>
        </w:rPr>
      </w:pPr>
      <w:r w:rsidRPr="006523FD">
        <w:rPr>
          <w:lang w:val="nl-BE"/>
        </w:rPr>
        <w:t xml:space="preserve">De </w:t>
      </w:r>
      <w:r w:rsidR="009B112A" w:rsidRPr="006523FD">
        <w:rPr>
          <w:lang w:val="nl-BE"/>
        </w:rPr>
        <w:t xml:space="preserve">term ‘incest’ </w:t>
      </w:r>
      <w:r w:rsidRPr="006523FD">
        <w:rPr>
          <w:lang w:val="nl-BE"/>
        </w:rPr>
        <w:t>wordt evenwel</w:t>
      </w:r>
      <w:r w:rsidRPr="006523FD">
        <w:rPr>
          <w:strike/>
          <w:lang w:val="nl-BE"/>
        </w:rPr>
        <w:t xml:space="preserve"> </w:t>
      </w:r>
      <w:r w:rsidRPr="006523FD">
        <w:rPr>
          <w:lang w:val="nl-BE"/>
        </w:rPr>
        <w:t xml:space="preserve">voorbehouden </w:t>
      </w:r>
      <w:r w:rsidR="009B112A" w:rsidRPr="006523FD">
        <w:rPr>
          <w:lang w:val="nl-BE"/>
        </w:rPr>
        <w:t>voor seksuele handeling</w:t>
      </w:r>
      <w:r w:rsidRPr="006523FD">
        <w:rPr>
          <w:lang w:val="nl-BE"/>
        </w:rPr>
        <w:t>en</w:t>
      </w:r>
      <w:r w:rsidR="009B112A" w:rsidRPr="006523FD">
        <w:rPr>
          <w:lang w:val="nl-BE"/>
        </w:rPr>
        <w:t xml:space="preserve"> </w:t>
      </w:r>
      <w:r w:rsidRPr="006523FD">
        <w:rPr>
          <w:lang w:val="nl-BE"/>
        </w:rPr>
        <w:t xml:space="preserve">gepleegd door één van de bedoelde bloed- of aanverwanten, </w:t>
      </w:r>
      <w:r w:rsidR="009B112A" w:rsidRPr="006523FD">
        <w:rPr>
          <w:b/>
          <w:bCs/>
          <w:lang w:val="nl-BE"/>
        </w:rPr>
        <w:t>ten nadele van een minderjarige</w:t>
      </w:r>
      <w:r w:rsidR="009B112A" w:rsidRPr="006523FD">
        <w:rPr>
          <w:lang w:val="nl-BE"/>
        </w:rPr>
        <w:t xml:space="preserve"> </w:t>
      </w:r>
    </w:p>
    <w:p w14:paraId="39CB67A0" w14:textId="78A77E4A" w:rsidR="009B112A" w:rsidRPr="006523FD" w:rsidRDefault="00187FFC" w:rsidP="009C15CF">
      <w:pPr>
        <w:jc w:val="both"/>
        <w:rPr>
          <w:b/>
          <w:lang w:val="nl-BE"/>
        </w:rPr>
      </w:pPr>
      <w:r w:rsidRPr="006523FD">
        <w:rPr>
          <w:b/>
          <w:lang w:val="nl-BE"/>
        </w:rPr>
        <w:t xml:space="preserve">In dat verband dient eraan te </w:t>
      </w:r>
      <w:r w:rsidR="009B112A" w:rsidRPr="006523FD">
        <w:rPr>
          <w:b/>
          <w:lang w:val="nl-BE"/>
        </w:rPr>
        <w:t>worden</w:t>
      </w:r>
      <w:r w:rsidRPr="006523FD">
        <w:rPr>
          <w:b/>
          <w:lang w:val="nl-BE"/>
        </w:rPr>
        <w:t xml:space="preserve"> herinnerd</w:t>
      </w:r>
      <w:r w:rsidR="009B112A" w:rsidRPr="006523FD">
        <w:rPr>
          <w:b/>
          <w:lang w:val="nl-BE"/>
        </w:rPr>
        <w:t xml:space="preserve"> dat artikel 416/6, §3, 1° een onweerlegbaar vermoeden van </w:t>
      </w:r>
      <w:r w:rsidRPr="006523FD">
        <w:rPr>
          <w:b/>
          <w:lang w:val="nl-BE"/>
        </w:rPr>
        <w:t xml:space="preserve">afwezigheid </w:t>
      </w:r>
      <w:r w:rsidR="009B112A" w:rsidRPr="006523FD">
        <w:rPr>
          <w:b/>
          <w:lang w:val="nl-BE"/>
        </w:rPr>
        <w:t xml:space="preserve">van toestemming </w:t>
      </w:r>
      <w:r w:rsidRPr="006523FD">
        <w:rPr>
          <w:b/>
          <w:lang w:val="nl-BE"/>
        </w:rPr>
        <w:t xml:space="preserve">invoert </w:t>
      </w:r>
      <w:r w:rsidR="009B112A" w:rsidRPr="006523FD">
        <w:rPr>
          <w:b/>
          <w:lang w:val="nl-BE"/>
        </w:rPr>
        <w:t xml:space="preserve">voor minderjarigen, ongeacht hun leeftijd, wanneer de dader één van de bedoelde bloed- of aanverwanten is. </w:t>
      </w:r>
    </w:p>
    <w:p w14:paraId="4B53445C" w14:textId="6880CC3E" w:rsidR="009B112A" w:rsidRPr="0069784D" w:rsidRDefault="009B112A" w:rsidP="009C15CF">
      <w:pPr>
        <w:jc w:val="both"/>
        <w:rPr>
          <w:lang w:val="nl-BE"/>
        </w:rPr>
      </w:pPr>
      <w:r w:rsidRPr="0069784D">
        <w:rPr>
          <w:lang w:val="nl-BE"/>
        </w:rPr>
        <w:t xml:space="preserve">Personen die een gelijkaardige plaats in het gezin innemen, worden </w:t>
      </w:r>
      <w:r w:rsidRPr="006523FD">
        <w:rPr>
          <w:lang w:val="nl-BE"/>
        </w:rPr>
        <w:t>eveneens</w:t>
      </w:r>
      <w:r w:rsidR="00187FFC" w:rsidRPr="006523FD">
        <w:rPr>
          <w:lang w:val="nl-BE"/>
        </w:rPr>
        <w:t xml:space="preserve"> beoogd</w:t>
      </w:r>
      <w:r w:rsidRPr="006523FD">
        <w:rPr>
          <w:lang w:val="nl-BE"/>
        </w:rPr>
        <w:t xml:space="preserve"> </w:t>
      </w:r>
      <w:r w:rsidRPr="0069784D">
        <w:rPr>
          <w:lang w:val="nl-BE"/>
        </w:rPr>
        <w:t>(vb. (half)broer of (half)zus of een kind van de stiefvader of -moeder).</w:t>
      </w:r>
    </w:p>
    <w:p w14:paraId="54725217" w14:textId="30284CBA" w:rsidR="009B112A" w:rsidRPr="0069784D" w:rsidRDefault="009B112A" w:rsidP="009C15CF">
      <w:pPr>
        <w:jc w:val="both"/>
        <w:rPr>
          <w:b/>
          <w:lang w:val="nl-BE"/>
        </w:rPr>
      </w:pPr>
      <w:r w:rsidRPr="0069784D">
        <w:rPr>
          <w:b/>
          <w:lang w:val="nl-BE"/>
        </w:rPr>
        <w:t xml:space="preserve">Opgelet: wanneer het gaat om het misdrijf </w:t>
      </w:r>
      <w:r w:rsidR="00405FDB" w:rsidRPr="0069784D">
        <w:rPr>
          <w:b/>
          <w:lang w:val="nl-BE"/>
        </w:rPr>
        <w:t>‘</w:t>
      </w:r>
      <w:r w:rsidRPr="0069784D">
        <w:rPr>
          <w:b/>
          <w:lang w:val="nl-BE"/>
        </w:rPr>
        <w:t>verkrachting</w:t>
      </w:r>
      <w:r w:rsidR="00405FDB" w:rsidRPr="0069784D">
        <w:rPr>
          <w:b/>
          <w:lang w:val="nl-BE"/>
        </w:rPr>
        <w:t>’</w:t>
      </w:r>
      <w:r w:rsidRPr="0069784D">
        <w:rPr>
          <w:b/>
          <w:lang w:val="nl-BE"/>
        </w:rPr>
        <w:t>, is correctionalisering niet mogelijk.</w:t>
      </w:r>
    </w:p>
    <w:p w14:paraId="40C41FEF" w14:textId="77777777" w:rsidR="009B112A" w:rsidRPr="0069784D" w:rsidRDefault="009B112A" w:rsidP="009C15CF">
      <w:pPr>
        <w:jc w:val="both"/>
        <w:rPr>
          <w:lang w:val="nl-BE"/>
        </w:rPr>
      </w:pPr>
    </w:p>
    <w:p w14:paraId="3F09FD06" w14:textId="77777777" w:rsidR="009B112A" w:rsidRPr="0069784D" w:rsidRDefault="009B112A" w:rsidP="009C15CF">
      <w:pPr>
        <w:jc w:val="both"/>
        <w:rPr>
          <w:bCs/>
          <w:sz w:val="28"/>
          <w:szCs w:val="28"/>
          <w:lang w:val="nl-BE"/>
        </w:rPr>
      </w:pPr>
      <w:r w:rsidRPr="0069784D">
        <w:rPr>
          <w:bCs/>
          <w:color w:val="000000"/>
          <w:sz w:val="28"/>
          <w:szCs w:val="28"/>
          <w:lang w:val="nl-BE"/>
        </w:rPr>
        <w:t>Artikel 417/19 -</w:t>
      </w:r>
      <w:r w:rsidRPr="0069784D">
        <w:rPr>
          <w:bCs/>
          <w:sz w:val="28"/>
          <w:szCs w:val="28"/>
          <w:lang w:val="nl-BE"/>
        </w:rPr>
        <w:t xml:space="preserve"> </w:t>
      </w:r>
      <w:r w:rsidRPr="0069784D">
        <w:rPr>
          <w:bCs/>
          <w:color w:val="000000"/>
          <w:sz w:val="27"/>
          <w:szCs w:val="27"/>
          <w:lang w:val="nl-BE"/>
        </w:rPr>
        <w:t>Niet-consensuele intrafamiliale seksuele handelingen</w:t>
      </w:r>
    </w:p>
    <w:p w14:paraId="6CE6193E" w14:textId="77777777" w:rsidR="00044D70" w:rsidRPr="0069784D" w:rsidRDefault="00044D70" w:rsidP="009C15CF">
      <w:pPr>
        <w:jc w:val="both"/>
        <w:rPr>
          <w:bCs/>
          <w:u w:val="single"/>
          <w:lang w:val="nl-BE"/>
        </w:rPr>
      </w:pPr>
    </w:p>
    <w:p w14:paraId="7D3CA9EA" w14:textId="4E59FA59" w:rsidR="009B112A" w:rsidRPr="0069784D" w:rsidRDefault="009B112A" w:rsidP="009C15CF">
      <w:pPr>
        <w:jc w:val="both"/>
        <w:rPr>
          <w:b/>
          <w:lang w:val="nl-BE"/>
        </w:rPr>
      </w:pPr>
      <w:r w:rsidRPr="0069784D">
        <w:rPr>
          <w:b/>
          <w:u w:val="single"/>
          <w:lang w:val="nl-BE"/>
        </w:rPr>
        <w:t>Niet-consensuele</w:t>
      </w:r>
      <w:r w:rsidRPr="0069784D">
        <w:rPr>
          <w:b/>
          <w:lang w:val="nl-BE"/>
        </w:rPr>
        <w:t xml:space="preserve"> handelingen op een meerderjarige door een bloed- of aanverwant worden niet met de term ‘incest’ benoemd, maar wel met ‘niet-consensuele intrafamiliale seksuele handeling</w:t>
      </w:r>
      <w:r w:rsidR="003C388E" w:rsidRPr="0069784D">
        <w:rPr>
          <w:b/>
          <w:lang w:val="nl-BE"/>
        </w:rPr>
        <w:t>en’</w:t>
      </w:r>
      <w:r w:rsidRPr="0069784D">
        <w:rPr>
          <w:b/>
          <w:lang w:val="nl-BE"/>
        </w:rPr>
        <w:t xml:space="preserve">. </w:t>
      </w:r>
    </w:p>
    <w:p w14:paraId="1B4F74F0" w14:textId="77777777" w:rsidR="009B112A" w:rsidRPr="0069784D" w:rsidRDefault="009B112A" w:rsidP="009C15CF">
      <w:pPr>
        <w:jc w:val="both"/>
        <w:rPr>
          <w:b/>
          <w:lang w:val="nl-BE"/>
        </w:rPr>
      </w:pPr>
      <w:r w:rsidRPr="0069784D">
        <w:rPr>
          <w:b/>
          <w:lang w:val="nl-BE"/>
        </w:rPr>
        <w:t xml:space="preserve">Er kan aan herinnerd worden dat meerderjarigen in tegenstelling tot minderjarigen vrij met een dergelijke relatievorm kunnen instemmen. </w:t>
      </w:r>
    </w:p>
    <w:p w14:paraId="5245E9A3" w14:textId="77777777" w:rsidR="009B112A" w:rsidRPr="0069784D" w:rsidRDefault="009B112A" w:rsidP="009C15CF">
      <w:pPr>
        <w:jc w:val="both"/>
        <w:rPr>
          <w:lang w:val="nl-BE"/>
        </w:rPr>
      </w:pPr>
      <w:r w:rsidRPr="0069784D">
        <w:rPr>
          <w:lang w:val="nl-BE"/>
        </w:rPr>
        <w:t xml:space="preserve">Handelingen gesteld ten aanzien van een bloed- of aanverwant in de neergaande lijn vallen eveneens onder deze verzwarende omstandigheid, aangezien het hierbij niet noodzakelijk hoeft te gaan om minderjarige slachtoffers. </w:t>
      </w:r>
    </w:p>
    <w:p w14:paraId="5F20F2DF" w14:textId="77777777" w:rsidR="009B112A" w:rsidRPr="0069784D" w:rsidRDefault="009B112A" w:rsidP="009C15CF">
      <w:pPr>
        <w:jc w:val="both"/>
        <w:rPr>
          <w:lang w:val="nl-BE"/>
        </w:rPr>
      </w:pPr>
      <w:r w:rsidRPr="0069784D">
        <w:rPr>
          <w:lang w:val="nl-BE"/>
        </w:rPr>
        <w:t>Ook voor de door een partner gestelde handelingen geldt deze verzwarende omstandigheid.</w:t>
      </w:r>
    </w:p>
    <w:p w14:paraId="0E123AFE" w14:textId="6F593827" w:rsidR="009B112A" w:rsidRPr="0069784D" w:rsidRDefault="009B112A" w:rsidP="009C15CF">
      <w:pPr>
        <w:jc w:val="both"/>
        <w:rPr>
          <w:color w:val="000000"/>
          <w:lang w:val="nl-BE"/>
        </w:rPr>
      </w:pPr>
      <w:r w:rsidRPr="0069784D">
        <w:rPr>
          <w:lang w:val="nl-BE"/>
        </w:rPr>
        <w:t xml:space="preserve">De ‘partner’ wordt gedefinieerd als </w:t>
      </w:r>
      <w:r w:rsidRPr="0069784D">
        <w:rPr>
          <w:color w:val="000000"/>
          <w:lang w:val="nl-BE"/>
        </w:rPr>
        <w:t>de persoon waarmee het slachtoffer is gehuwd of een duurzame affectieve en intieme lichamelijke relatie heeft, alsook de persoon waarmee het slachtoffer gehuwd is geweest of een duurzame affectieve en intieme lichamelijke relatie heeft gehad indien de strafbare feiten enigszins verband houden met dit ontbonden huwelijk of de beëindigde</w:t>
      </w:r>
      <w:r w:rsidR="00482910" w:rsidRPr="0069784D">
        <w:rPr>
          <w:color w:val="000000"/>
          <w:lang w:val="nl-BE"/>
        </w:rPr>
        <w:t xml:space="preserve"> relatie</w:t>
      </w:r>
      <w:r w:rsidRPr="0069784D">
        <w:rPr>
          <w:color w:val="000000"/>
          <w:lang w:val="nl-BE"/>
        </w:rPr>
        <w:t>.</w:t>
      </w:r>
    </w:p>
    <w:p w14:paraId="6C6DDDEA" w14:textId="77777777" w:rsidR="009B112A" w:rsidRPr="0069784D" w:rsidRDefault="009B112A" w:rsidP="009C15CF">
      <w:pPr>
        <w:jc w:val="both"/>
        <w:rPr>
          <w:color w:val="000000"/>
          <w:lang w:val="nl-BE"/>
        </w:rPr>
      </w:pPr>
      <w:r w:rsidRPr="0069784D">
        <w:rPr>
          <w:color w:val="000000"/>
          <w:lang w:val="nl-BE"/>
        </w:rPr>
        <w:t>Deze definitie is gebaseerd op deze uit artikel 410, lid 2 van het Strafwetboek.</w:t>
      </w:r>
    </w:p>
    <w:p w14:paraId="4DE74A53" w14:textId="101AADD2" w:rsidR="009B112A" w:rsidRPr="006523FD" w:rsidRDefault="009B112A" w:rsidP="009C15CF">
      <w:pPr>
        <w:jc w:val="both"/>
        <w:rPr>
          <w:lang w:val="nl-BE"/>
        </w:rPr>
      </w:pPr>
      <w:r w:rsidRPr="0069784D">
        <w:rPr>
          <w:color w:val="000000"/>
          <w:lang w:val="nl-BE"/>
        </w:rPr>
        <w:lastRenderedPageBreak/>
        <w:t xml:space="preserve">De </w:t>
      </w:r>
      <w:r w:rsidRPr="006523FD">
        <w:rPr>
          <w:lang w:val="nl-BE"/>
        </w:rPr>
        <w:t>bewoording</w:t>
      </w:r>
      <w:r w:rsidR="00852CDA" w:rsidRPr="006523FD">
        <w:rPr>
          <w:lang w:val="nl-BE"/>
        </w:rPr>
        <w:t>en</w:t>
      </w:r>
      <w:r w:rsidRPr="006523FD">
        <w:rPr>
          <w:lang w:val="nl-BE"/>
        </w:rPr>
        <w:t xml:space="preserve"> ‘duurzame affectieve en intieme lichamelijke relatie’ kr</w:t>
      </w:r>
      <w:r w:rsidR="00852CDA" w:rsidRPr="006523FD">
        <w:rPr>
          <w:lang w:val="nl-BE"/>
        </w:rPr>
        <w:t>egen</w:t>
      </w:r>
      <w:r w:rsidRPr="006523FD">
        <w:rPr>
          <w:lang w:val="nl-BE"/>
        </w:rPr>
        <w:t xml:space="preserve"> de voorkeur op </w:t>
      </w:r>
      <w:r w:rsidR="00852CDA" w:rsidRPr="006523FD">
        <w:rPr>
          <w:lang w:val="nl-BE"/>
        </w:rPr>
        <w:t xml:space="preserve">de bewoordingen </w:t>
      </w:r>
      <w:r w:rsidRPr="006523FD">
        <w:rPr>
          <w:lang w:val="nl-BE"/>
        </w:rPr>
        <w:t>‘duurzame affectieve en seksuele relatie’, maar lijk</w:t>
      </w:r>
      <w:r w:rsidR="00852CDA" w:rsidRPr="006523FD">
        <w:rPr>
          <w:lang w:val="nl-BE"/>
        </w:rPr>
        <w:t>en</w:t>
      </w:r>
      <w:r w:rsidRPr="006523FD">
        <w:rPr>
          <w:lang w:val="nl-BE"/>
        </w:rPr>
        <w:t xml:space="preserve"> voor het overige dezelfde draagwijdte te hebben. </w:t>
      </w:r>
    </w:p>
    <w:p w14:paraId="3D1B36C8" w14:textId="64FFDB24" w:rsidR="009B112A" w:rsidRPr="006523FD" w:rsidRDefault="009B112A" w:rsidP="009C15CF">
      <w:pPr>
        <w:jc w:val="both"/>
        <w:rPr>
          <w:b/>
          <w:lang w:val="nl-BE"/>
        </w:rPr>
      </w:pPr>
      <w:r w:rsidRPr="006523FD">
        <w:rPr>
          <w:lang w:val="nl-BE"/>
        </w:rPr>
        <w:t xml:space="preserve">Aangezien het criterium van de samenleving niet doorslaggevend is om een bijzondere band vast te stellen tussen twee personen die een bijzondere kwetsbaarheid voor geweld kan impliceren, schrapt de wetgever de </w:t>
      </w:r>
      <w:r w:rsidRPr="006523FD">
        <w:rPr>
          <w:b/>
          <w:bCs/>
          <w:lang w:val="nl-BE"/>
        </w:rPr>
        <w:t>samenlevingsvereiste</w:t>
      </w:r>
      <w:r w:rsidRPr="006523FD">
        <w:rPr>
          <w:b/>
          <w:lang w:val="nl-BE"/>
        </w:rPr>
        <w:t>.</w:t>
      </w:r>
    </w:p>
    <w:p w14:paraId="4066A465" w14:textId="6F08132E" w:rsidR="00DC3DC6" w:rsidRPr="0069784D" w:rsidRDefault="00DC3DC6" w:rsidP="009C15CF">
      <w:pPr>
        <w:pStyle w:val="FootnoteText"/>
        <w:jc w:val="both"/>
        <w:rPr>
          <w:sz w:val="22"/>
          <w:szCs w:val="22"/>
          <w:lang w:val="nl-BE"/>
        </w:rPr>
      </w:pPr>
      <w:r w:rsidRPr="0069784D">
        <w:rPr>
          <w:sz w:val="22"/>
          <w:szCs w:val="22"/>
          <w:lang w:val="nl-BE"/>
        </w:rPr>
        <w:t xml:space="preserve">In omzendbrief COL 4/2006 werd bij de definitie van het begrip ‘partnergeweld’ ook al het volgende gesteld: </w:t>
      </w:r>
      <w:r w:rsidRPr="0069784D">
        <w:rPr>
          <w:i/>
          <w:iCs/>
          <w:sz w:val="22"/>
          <w:szCs w:val="22"/>
          <w:lang w:val="nl-BE"/>
        </w:rPr>
        <w:t>“</w:t>
      </w:r>
      <w:r w:rsidRPr="0069784D">
        <w:rPr>
          <w:rFonts w:eastAsia="Calibri" w:cstheme="minorHAnsi"/>
          <w:i/>
          <w:iCs/>
          <w:sz w:val="22"/>
          <w:szCs w:val="22"/>
          <w:lang w:val="nl-BE"/>
        </w:rPr>
        <w:t xml:space="preserve">Het begrip “samenleven” betekent niet dat de betrokkenen doorlopend op hetzelfde adres moeten verblijven of verbleven hebben. Het omvat ook de situatie </w:t>
      </w:r>
      <w:r w:rsidR="00B725CB" w:rsidRPr="0069784D">
        <w:rPr>
          <w:rFonts w:eastAsia="Calibri" w:cstheme="minorHAnsi"/>
          <w:i/>
          <w:iCs/>
          <w:sz w:val="22"/>
          <w:szCs w:val="22"/>
          <w:lang w:val="nl-BE"/>
        </w:rPr>
        <w:t>waarbij personen</w:t>
      </w:r>
      <w:r w:rsidRPr="0069784D">
        <w:rPr>
          <w:rFonts w:eastAsia="Calibri" w:cstheme="minorHAnsi"/>
          <w:i/>
          <w:iCs/>
          <w:sz w:val="22"/>
          <w:szCs w:val="22"/>
          <w:lang w:val="nl-BE"/>
        </w:rPr>
        <w:t xml:space="preserve"> die een relatie hebben, elkaar af en toe in hetzelfde huis of op een andere afgesproken plaats ontmoeten.”</w:t>
      </w:r>
      <w:r w:rsidRPr="0069784D">
        <w:rPr>
          <w:rStyle w:val="FootnoteReference"/>
          <w:rFonts w:eastAsia="Calibri" w:cstheme="minorHAnsi"/>
          <w:i/>
          <w:iCs/>
          <w:sz w:val="22"/>
          <w:szCs w:val="22"/>
          <w:lang w:val="nl-BE"/>
        </w:rPr>
        <w:footnoteReference w:customMarkFollows="1" w:id="56"/>
        <w:t>56</w:t>
      </w:r>
      <w:r w:rsidRPr="0069784D">
        <w:rPr>
          <w:rFonts w:eastAsia="Calibri" w:cstheme="minorHAnsi"/>
          <w:i/>
          <w:iCs/>
          <w:sz w:val="22"/>
          <w:szCs w:val="22"/>
          <w:lang w:val="nl-BE"/>
        </w:rPr>
        <w:t>.</w:t>
      </w:r>
    </w:p>
    <w:p w14:paraId="0585036D" w14:textId="77777777" w:rsidR="00DC3DC6" w:rsidRPr="0069784D" w:rsidRDefault="00DC3DC6" w:rsidP="009C15CF">
      <w:pPr>
        <w:jc w:val="both"/>
        <w:rPr>
          <w:lang w:val="nl-BE"/>
        </w:rPr>
      </w:pPr>
    </w:p>
    <w:p w14:paraId="58116E52" w14:textId="50025BB5" w:rsidR="009B112A" w:rsidRPr="0069784D" w:rsidRDefault="009B112A" w:rsidP="009C15CF">
      <w:pPr>
        <w:jc w:val="both"/>
        <w:rPr>
          <w:lang w:val="nl-BE"/>
        </w:rPr>
      </w:pPr>
      <w:r w:rsidRPr="0069784D">
        <w:rPr>
          <w:lang w:val="nl-BE"/>
        </w:rPr>
        <w:t xml:space="preserve">Het College van procureurs-generaal had bij de evaluatie van de omzendbrieven COL 3/2006 en COL 4/2006 overigens al gesuggereerd om deze samenlevingsvereiste te schrappen, wat eveneens in overeenstemming is met het Verdrag van 12 april 2011 van de Raad van Europa inzake het voorkomen en bestrijden van geweld tegen vrouwen en huiselijk geweld, ook het Verdrag van Istanboel genoemd. </w:t>
      </w:r>
    </w:p>
    <w:p w14:paraId="475AA4C2" w14:textId="77777777" w:rsidR="009B112A" w:rsidRPr="0069784D" w:rsidRDefault="009B112A" w:rsidP="009C15CF">
      <w:pPr>
        <w:pStyle w:val="FootnoteText"/>
        <w:jc w:val="both"/>
        <w:rPr>
          <w:sz w:val="22"/>
          <w:szCs w:val="22"/>
          <w:lang w:val="nl-BE"/>
        </w:rPr>
      </w:pPr>
    </w:p>
    <w:p w14:paraId="7B6F9032" w14:textId="46B8FEDA" w:rsidR="009B112A" w:rsidRPr="0069784D" w:rsidRDefault="009B112A" w:rsidP="009C15CF">
      <w:pPr>
        <w:jc w:val="both"/>
        <w:rPr>
          <w:color w:val="000000"/>
          <w:lang w:val="nl-BE"/>
        </w:rPr>
      </w:pPr>
      <w:r w:rsidRPr="0069784D">
        <w:rPr>
          <w:color w:val="000000"/>
          <w:lang w:val="nl-BE"/>
        </w:rPr>
        <w:t xml:space="preserve">De wetgever </w:t>
      </w:r>
      <w:r w:rsidRPr="006523FD">
        <w:rPr>
          <w:lang w:val="nl-BE"/>
        </w:rPr>
        <w:t>beoogt</w:t>
      </w:r>
      <w:r w:rsidR="00852CDA" w:rsidRPr="006523FD">
        <w:rPr>
          <w:lang w:val="nl-BE"/>
        </w:rPr>
        <w:t xml:space="preserve"> met deze verzwarende omstandigheid </w:t>
      </w:r>
      <w:r w:rsidRPr="006523FD">
        <w:rPr>
          <w:lang w:val="nl-BE"/>
        </w:rPr>
        <w:t xml:space="preserve"> </w:t>
      </w:r>
      <w:r w:rsidR="00852CDA" w:rsidRPr="006523FD">
        <w:rPr>
          <w:lang w:val="nl-BE"/>
        </w:rPr>
        <w:t xml:space="preserve">evenzeer </w:t>
      </w:r>
      <w:r w:rsidRPr="006523FD">
        <w:rPr>
          <w:lang w:val="nl-BE"/>
        </w:rPr>
        <w:t xml:space="preserve">de ex-partners op voorwaarde dat de feiten </w:t>
      </w:r>
      <w:r w:rsidR="00852CDA" w:rsidRPr="006523FD">
        <w:rPr>
          <w:lang w:val="nl-BE"/>
        </w:rPr>
        <w:t xml:space="preserve">verband houden met </w:t>
      </w:r>
      <w:r w:rsidRPr="006523FD">
        <w:rPr>
          <w:lang w:val="nl-BE"/>
        </w:rPr>
        <w:t xml:space="preserve">de stopgezette relatie, en verduidelijkt in de memorie van toelichting </w:t>
      </w:r>
      <w:r w:rsidR="00852CDA" w:rsidRPr="006523FD">
        <w:rPr>
          <w:lang w:val="nl-BE"/>
        </w:rPr>
        <w:t xml:space="preserve">in dat verband </w:t>
      </w:r>
      <w:r w:rsidRPr="006523FD">
        <w:rPr>
          <w:lang w:val="nl-BE"/>
        </w:rPr>
        <w:t xml:space="preserve">dat de verzwarende omstandigheid enkel van toepassing is indien het misdrijf gepleegd werd omwille van </w:t>
      </w:r>
      <w:r w:rsidRPr="0069784D">
        <w:rPr>
          <w:color w:val="000000"/>
          <w:lang w:val="nl-BE"/>
        </w:rPr>
        <w:t xml:space="preserve">relaties die tussen dader en slachtoffer bestaan hebben. </w:t>
      </w:r>
    </w:p>
    <w:p w14:paraId="01FBD9AF" w14:textId="4215D6E0" w:rsidR="009B112A" w:rsidRPr="006523FD" w:rsidRDefault="009B112A" w:rsidP="009C15CF">
      <w:pPr>
        <w:jc w:val="both"/>
        <w:rPr>
          <w:b/>
          <w:lang w:val="nl-BE"/>
        </w:rPr>
      </w:pPr>
      <w:r w:rsidRPr="0069784D">
        <w:rPr>
          <w:b/>
          <w:color w:val="000000"/>
          <w:lang w:val="nl-BE"/>
        </w:rPr>
        <w:t xml:space="preserve">Deze bijkomende voorwaarde dient beoordeeld te </w:t>
      </w:r>
      <w:r w:rsidRPr="006523FD">
        <w:rPr>
          <w:b/>
          <w:lang w:val="nl-BE"/>
        </w:rPr>
        <w:t xml:space="preserve">worden </w:t>
      </w:r>
      <w:r w:rsidR="00852CDA" w:rsidRPr="006523FD">
        <w:rPr>
          <w:b/>
          <w:lang w:val="nl-BE"/>
        </w:rPr>
        <w:t xml:space="preserve">in het licht </w:t>
      </w:r>
      <w:r w:rsidRPr="006523FD">
        <w:rPr>
          <w:b/>
          <w:lang w:val="nl-BE"/>
        </w:rPr>
        <w:t xml:space="preserve">van de vaststelling dat het geweld </w:t>
      </w:r>
      <w:r w:rsidR="003C388E" w:rsidRPr="006523FD">
        <w:rPr>
          <w:b/>
          <w:lang w:val="nl-BE"/>
        </w:rPr>
        <w:t xml:space="preserve">vaak </w:t>
      </w:r>
      <w:r w:rsidRPr="006523FD">
        <w:rPr>
          <w:b/>
          <w:lang w:val="nl-BE"/>
        </w:rPr>
        <w:t xml:space="preserve">niet stopt bij het einde van de relatie, maar daarentegen gedurende een lange periode (meerdere jaren) na het einde van de relatie </w:t>
      </w:r>
      <w:r w:rsidR="003C388E" w:rsidRPr="006523FD">
        <w:rPr>
          <w:b/>
          <w:lang w:val="nl-BE"/>
        </w:rPr>
        <w:t>kan</w:t>
      </w:r>
      <w:r w:rsidRPr="006523FD">
        <w:rPr>
          <w:b/>
          <w:lang w:val="nl-BE"/>
        </w:rPr>
        <w:t xml:space="preserve"> blijven voortduren en verschillende vormen </w:t>
      </w:r>
      <w:r w:rsidR="00852CDA" w:rsidRPr="006523FD">
        <w:rPr>
          <w:b/>
          <w:lang w:val="nl-BE"/>
        </w:rPr>
        <w:t xml:space="preserve">kan </w:t>
      </w:r>
      <w:r w:rsidRPr="006523FD">
        <w:rPr>
          <w:b/>
          <w:lang w:val="nl-BE"/>
        </w:rPr>
        <w:t>aannemen.</w:t>
      </w:r>
    </w:p>
    <w:p w14:paraId="35DACA71" w14:textId="77777777" w:rsidR="009B112A" w:rsidRPr="0069784D" w:rsidRDefault="009B112A" w:rsidP="009C15CF">
      <w:pPr>
        <w:jc w:val="both"/>
        <w:rPr>
          <w:lang w:val="nl-BE"/>
        </w:rPr>
      </w:pPr>
      <w:r w:rsidRPr="0069784D">
        <w:rPr>
          <w:lang w:val="nl-BE"/>
        </w:rPr>
        <w:t xml:space="preserve">Opnieuw dient opgemerkt te worden dat personen die een gelijkaardige plaats in het gezin innemen, eveneens onder deze verzwarende omstandigheid vallen. </w:t>
      </w:r>
    </w:p>
    <w:p w14:paraId="42CEC4B4" w14:textId="77777777" w:rsidR="00D34618" w:rsidRPr="0069784D" w:rsidRDefault="00D34618" w:rsidP="009C15CF">
      <w:pPr>
        <w:jc w:val="both"/>
        <w:rPr>
          <w:lang w:val="nl-BE"/>
        </w:rPr>
      </w:pPr>
    </w:p>
    <w:p w14:paraId="675BECD6" w14:textId="252CF156" w:rsidR="009B112A" w:rsidRPr="0069784D" w:rsidRDefault="009B112A" w:rsidP="009C15CF">
      <w:pPr>
        <w:jc w:val="both"/>
        <w:rPr>
          <w:bCs/>
          <w:sz w:val="28"/>
          <w:szCs w:val="28"/>
          <w:lang w:val="nl-BE"/>
        </w:rPr>
      </w:pPr>
      <w:r w:rsidRPr="0069784D">
        <w:rPr>
          <w:bCs/>
          <w:color w:val="000000"/>
          <w:sz w:val="28"/>
          <w:szCs w:val="28"/>
          <w:lang w:val="nl-BE"/>
        </w:rPr>
        <w:t>Artikel 417/20 -</w:t>
      </w:r>
      <w:r w:rsidRPr="0069784D">
        <w:rPr>
          <w:bCs/>
          <w:sz w:val="28"/>
          <w:szCs w:val="28"/>
          <w:lang w:val="nl-BE"/>
        </w:rPr>
        <w:t xml:space="preserve"> </w:t>
      </w:r>
      <w:r w:rsidRPr="0069784D">
        <w:rPr>
          <w:bCs/>
          <w:color w:val="000000"/>
          <w:sz w:val="27"/>
          <w:szCs w:val="27"/>
          <w:lang w:val="nl-BE"/>
        </w:rPr>
        <w:t xml:space="preserve">Niet-consensuele seksuele handelingen op basis van een </w:t>
      </w:r>
      <w:r w:rsidR="00DC3DC6" w:rsidRPr="0069784D">
        <w:rPr>
          <w:bCs/>
          <w:color w:val="000000"/>
          <w:sz w:val="27"/>
          <w:szCs w:val="27"/>
          <w:lang w:val="nl-BE"/>
        </w:rPr>
        <w:t>discriminerende</w:t>
      </w:r>
      <w:r w:rsidRPr="0069784D">
        <w:rPr>
          <w:bCs/>
          <w:color w:val="000000"/>
          <w:sz w:val="27"/>
          <w:szCs w:val="27"/>
          <w:lang w:val="nl-BE"/>
        </w:rPr>
        <w:t xml:space="preserve"> drijfveer</w:t>
      </w:r>
    </w:p>
    <w:p w14:paraId="4C99BCDC" w14:textId="5AE11582" w:rsidR="009B112A" w:rsidRPr="006523FD" w:rsidRDefault="009B112A" w:rsidP="009C15CF">
      <w:pPr>
        <w:jc w:val="both"/>
        <w:rPr>
          <w:lang w:val="nl-BE"/>
        </w:rPr>
      </w:pPr>
      <w:r w:rsidRPr="0069784D">
        <w:rPr>
          <w:lang w:val="nl-BE"/>
        </w:rPr>
        <w:t xml:space="preserve">De wetgever neemt een aantal aanbevelingen over van de </w:t>
      </w:r>
      <w:r w:rsidRPr="006523FD">
        <w:rPr>
          <w:lang w:val="nl-BE"/>
        </w:rPr>
        <w:t xml:space="preserve">commissie </w:t>
      </w:r>
      <w:r w:rsidR="005B3C71" w:rsidRPr="006523FD">
        <w:rPr>
          <w:lang w:val="nl-BE"/>
        </w:rPr>
        <w:t xml:space="preserve">ter evaluatie van de </w:t>
      </w:r>
      <w:r w:rsidRPr="006523FD">
        <w:rPr>
          <w:lang w:val="nl-BE"/>
        </w:rPr>
        <w:t>federale wetgeving ter bestrijding van discriminatie</w:t>
      </w:r>
      <w:r w:rsidR="00DC3DC6" w:rsidRPr="006523FD">
        <w:rPr>
          <w:rStyle w:val="FootnoteReference"/>
          <w:lang w:val="nl-BE"/>
        </w:rPr>
        <w:footnoteReference w:customMarkFollows="1" w:id="57"/>
        <w:t>57</w:t>
      </w:r>
      <w:r w:rsidRPr="006523FD">
        <w:rPr>
          <w:lang w:val="nl-BE"/>
        </w:rPr>
        <w:t xml:space="preserve"> en/of </w:t>
      </w:r>
      <w:r w:rsidR="005B3C71" w:rsidRPr="006523FD">
        <w:rPr>
          <w:lang w:val="nl-BE"/>
        </w:rPr>
        <w:t xml:space="preserve">van bepaalde </w:t>
      </w:r>
      <w:r w:rsidRPr="006523FD">
        <w:rPr>
          <w:lang w:val="nl-BE"/>
        </w:rPr>
        <w:t>interpretatie</w:t>
      </w:r>
      <w:r w:rsidR="00482910" w:rsidRPr="006523FD">
        <w:rPr>
          <w:lang w:val="nl-BE"/>
        </w:rPr>
        <w:t>s</w:t>
      </w:r>
      <w:r w:rsidRPr="006523FD">
        <w:rPr>
          <w:lang w:val="nl-BE"/>
        </w:rPr>
        <w:t xml:space="preserve"> uit de rechtsleer en/of de rechtspraak die nog niet in de drie wetten van mei 2007 opgenomen werden</w:t>
      </w:r>
      <w:r w:rsidR="00DC3DC6" w:rsidRPr="006523FD">
        <w:rPr>
          <w:rStyle w:val="FootnoteReference"/>
          <w:lang w:val="nl-BE"/>
        </w:rPr>
        <w:footnoteReference w:customMarkFollows="1" w:id="58"/>
        <w:t>58</w:t>
      </w:r>
      <w:r w:rsidRPr="006523FD">
        <w:rPr>
          <w:lang w:val="nl-BE"/>
        </w:rPr>
        <w:t>:</w:t>
      </w:r>
    </w:p>
    <w:p w14:paraId="40EF2C13" w14:textId="77777777" w:rsidR="009B112A" w:rsidRPr="006523FD" w:rsidRDefault="009B112A" w:rsidP="009C15CF">
      <w:pPr>
        <w:pStyle w:val="ListParagraph"/>
        <w:numPr>
          <w:ilvl w:val="0"/>
          <w:numId w:val="3"/>
        </w:numPr>
        <w:jc w:val="both"/>
        <w:rPr>
          <w:lang w:val="nl-BE"/>
        </w:rPr>
      </w:pPr>
      <w:r w:rsidRPr="006523FD">
        <w:rPr>
          <w:lang w:val="nl-BE"/>
        </w:rPr>
        <w:lastRenderedPageBreak/>
        <w:t>De criteria van de</w:t>
      </w:r>
      <w:r w:rsidRPr="006523FD">
        <w:rPr>
          <w:b/>
          <w:bCs/>
          <w:lang w:val="nl-BE"/>
        </w:rPr>
        <w:t xml:space="preserve"> zwangerschap, bevalling, ouderschap, geslachtsverandering, genderidentiteit </w:t>
      </w:r>
      <w:r w:rsidRPr="006523FD">
        <w:rPr>
          <w:lang w:val="nl-BE"/>
        </w:rPr>
        <w:t>en</w:t>
      </w:r>
      <w:r w:rsidRPr="006523FD">
        <w:rPr>
          <w:b/>
          <w:bCs/>
          <w:lang w:val="nl-BE"/>
        </w:rPr>
        <w:t xml:space="preserve"> genderexpressie</w:t>
      </w:r>
      <w:r w:rsidRPr="006523FD">
        <w:rPr>
          <w:lang w:val="nl-BE"/>
        </w:rPr>
        <w:t xml:space="preserve"> worden expliciet vermeld na het geslacht. </w:t>
      </w:r>
    </w:p>
    <w:p w14:paraId="327A9AD0" w14:textId="0802F6AB" w:rsidR="009B112A" w:rsidRPr="006523FD" w:rsidRDefault="009B112A" w:rsidP="009C15CF">
      <w:pPr>
        <w:pStyle w:val="ListParagraph"/>
        <w:numPr>
          <w:ilvl w:val="0"/>
          <w:numId w:val="3"/>
        </w:numPr>
        <w:jc w:val="both"/>
        <w:rPr>
          <w:lang w:val="nl-BE"/>
        </w:rPr>
      </w:pPr>
      <w:r w:rsidRPr="006523FD">
        <w:rPr>
          <w:lang w:val="nl-BE"/>
        </w:rPr>
        <w:t>Het begrip ‘</w:t>
      </w:r>
      <w:r w:rsidRPr="006523FD">
        <w:rPr>
          <w:b/>
          <w:bCs/>
          <w:lang w:val="nl-BE"/>
        </w:rPr>
        <w:t>vermogen</w:t>
      </w:r>
      <w:r w:rsidRPr="006523FD">
        <w:rPr>
          <w:lang w:val="nl-BE"/>
        </w:rPr>
        <w:t>’ vervangt het</w:t>
      </w:r>
      <w:r w:rsidR="005B3C71" w:rsidRPr="006523FD">
        <w:rPr>
          <w:lang w:val="nl-BE"/>
        </w:rPr>
        <w:t xml:space="preserve"> begrip</w:t>
      </w:r>
      <w:r w:rsidRPr="006523FD">
        <w:rPr>
          <w:lang w:val="nl-BE"/>
        </w:rPr>
        <w:t xml:space="preserve"> ‘</w:t>
      </w:r>
      <w:r w:rsidRPr="0069784D">
        <w:rPr>
          <w:b/>
          <w:bCs/>
          <w:lang w:val="nl-BE"/>
        </w:rPr>
        <w:t>fortuin</w:t>
      </w:r>
      <w:r w:rsidRPr="0069784D">
        <w:rPr>
          <w:lang w:val="nl-BE"/>
        </w:rPr>
        <w:t xml:space="preserve">’, om situaties </w:t>
      </w:r>
      <w:r w:rsidRPr="006523FD">
        <w:rPr>
          <w:lang w:val="nl-BE"/>
        </w:rPr>
        <w:t xml:space="preserve">van armoede </w:t>
      </w:r>
      <w:r w:rsidR="005B3C71" w:rsidRPr="006523FD">
        <w:rPr>
          <w:lang w:val="nl-BE"/>
        </w:rPr>
        <w:t xml:space="preserve">duidelijker </w:t>
      </w:r>
      <w:r w:rsidRPr="006523FD">
        <w:rPr>
          <w:lang w:val="nl-BE"/>
        </w:rPr>
        <w:t xml:space="preserve">te beogen. </w:t>
      </w:r>
    </w:p>
    <w:p w14:paraId="2491E319" w14:textId="4D43A278" w:rsidR="009B112A" w:rsidRPr="0069784D" w:rsidRDefault="009B112A" w:rsidP="009C15CF">
      <w:pPr>
        <w:pStyle w:val="ListParagraph"/>
        <w:numPr>
          <w:ilvl w:val="0"/>
          <w:numId w:val="3"/>
        </w:numPr>
        <w:jc w:val="both"/>
        <w:rPr>
          <w:lang w:val="nl-BE"/>
        </w:rPr>
      </w:pPr>
      <w:r w:rsidRPr="006523FD">
        <w:rPr>
          <w:lang w:val="nl-BE"/>
        </w:rPr>
        <w:t xml:space="preserve">Het begrip ‘gezondheidstoestand’ vervangt dat van de ‘huidige </w:t>
      </w:r>
      <w:r w:rsidRPr="0069784D">
        <w:rPr>
          <w:lang w:val="nl-BE"/>
        </w:rPr>
        <w:t>of toekomstige gezondheidstoestand’ om rekening te kunnen houden met de gezondheidstoestand uit zo</w:t>
      </w:r>
      <w:r w:rsidR="00482910" w:rsidRPr="0069784D">
        <w:rPr>
          <w:lang w:val="nl-BE"/>
        </w:rPr>
        <w:t>w</w:t>
      </w:r>
      <w:r w:rsidRPr="0069784D">
        <w:rPr>
          <w:lang w:val="nl-BE"/>
        </w:rPr>
        <w:t xml:space="preserve">el het </w:t>
      </w:r>
      <w:r w:rsidRPr="0069784D">
        <w:rPr>
          <w:b/>
          <w:bCs/>
          <w:lang w:val="nl-BE"/>
        </w:rPr>
        <w:t>verleden</w:t>
      </w:r>
      <w:r w:rsidRPr="0069784D">
        <w:rPr>
          <w:lang w:val="nl-BE"/>
        </w:rPr>
        <w:t xml:space="preserve">, het heden als de toekomst. </w:t>
      </w:r>
    </w:p>
    <w:p w14:paraId="0BC1FF24" w14:textId="6CB2D7BA" w:rsidR="009B112A" w:rsidRPr="0069784D" w:rsidRDefault="009B112A" w:rsidP="009C15CF">
      <w:pPr>
        <w:pStyle w:val="ListParagraph"/>
        <w:numPr>
          <w:ilvl w:val="0"/>
          <w:numId w:val="3"/>
        </w:numPr>
        <w:jc w:val="both"/>
        <w:rPr>
          <w:lang w:val="nl-BE"/>
        </w:rPr>
      </w:pPr>
      <w:r w:rsidRPr="0069784D">
        <w:rPr>
          <w:lang w:val="nl-BE"/>
        </w:rPr>
        <w:t xml:space="preserve">Het criterium van de </w:t>
      </w:r>
      <w:r w:rsidRPr="0069784D">
        <w:rPr>
          <w:b/>
          <w:bCs/>
          <w:lang w:val="nl-BE"/>
        </w:rPr>
        <w:t>sociale positie</w:t>
      </w:r>
      <w:r w:rsidRPr="0069784D">
        <w:rPr>
          <w:lang w:val="nl-BE"/>
        </w:rPr>
        <w:t xml:space="preserve"> wordt toegevoegd aan dat van de sociale afkomst om ambiguïteit te vermijden</w:t>
      </w:r>
      <w:r w:rsidR="00DC3DC6" w:rsidRPr="0069784D">
        <w:rPr>
          <w:rStyle w:val="FootnoteReference"/>
          <w:lang w:val="nl-BE"/>
        </w:rPr>
        <w:footnoteReference w:customMarkFollows="1" w:id="59"/>
        <w:t>59</w:t>
      </w:r>
      <w:r w:rsidRPr="0069784D">
        <w:rPr>
          <w:lang w:val="nl-BE"/>
        </w:rPr>
        <w:t>.</w:t>
      </w:r>
    </w:p>
    <w:p w14:paraId="2C65BF60" w14:textId="36D4BFE3" w:rsidR="009B112A" w:rsidRPr="006523FD" w:rsidRDefault="009B112A" w:rsidP="009C15CF">
      <w:pPr>
        <w:pStyle w:val="ListParagraph"/>
        <w:numPr>
          <w:ilvl w:val="0"/>
          <w:numId w:val="3"/>
        </w:numPr>
        <w:jc w:val="both"/>
        <w:rPr>
          <w:lang w:val="nl-BE"/>
        </w:rPr>
      </w:pPr>
      <w:r w:rsidRPr="0069784D">
        <w:rPr>
          <w:lang w:val="nl-BE"/>
        </w:rPr>
        <w:t xml:space="preserve">De </w:t>
      </w:r>
      <w:r w:rsidRPr="006523FD">
        <w:rPr>
          <w:lang w:val="nl-BE"/>
        </w:rPr>
        <w:t xml:space="preserve">wetgever </w:t>
      </w:r>
      <w:r w:rsidR="005B3C71" w:rsidRPr="006523FD">
        <w:rPr>
          <w:lang w:val="nl-BE"/>
        </w:rPr>
        <w:t xml:space="preserve">benadrukt </w:t>
      </w:r>
      <w:r w:rsidRPr="006523FD">
        <w:rPr>
          <w:lang w:val="nl-BE"/>
        </w:rPr>
        <w:t xml:space="preserve">dat het </w:t>
      </w:r>
      <w:r w:rsidR="005B3C71" w:rsidRPr="006523FD">
        <w:rPr>
          <w:lang w:val="nl-BE"/>
        </w:rPr>
        <w:t xml:space="preserve">niet </w:t>
      </w:r>
      <w:r w:rsidRPr="006523FD">
        <w:rPr>
          <w:lang w:val="nl-BE"/>
        </w:rPr>
        <w:t xml:space="preserve">uitmaakt </w:t>
      </w:r>
      <w:r w:rsidR="005B3C71" w:rsidRPr="006523FD">
        <w:rPr>
          <w:lang w:val="nl-BE"/>
        </w:rPr>
        <w:t xml:space="preserve">of </w:t>
      </w:r>
      <w:r w:rsidRPr="006523FD">
        <w:rPr>
          <w:lang w:val="nl-BE"/>
        </w:rPr>
        <w:t xml:space="preserve">het slachtoffer daadwerkelijk het kenmerk bezit </w:t>
      </w:r>
      <w:r w:rsidR="005B3C71" w:rsidRPr="006523FD">
        <w:rPr>
          <w:lang w:val="nl-BE"/>
        </w:rPr>
        <w:t xml:space="preserve">dat </w:t>
      </w:r>
      <w:r w:rsidRPr="006523FD">
        <w:rPr>
          <w:lang w:val="nl-BE"/>
        </w:rPr>
        <w:t xml:space="preserve">de dader </w:t>
      </w:r>
      <w:r w:rsidR="005B3C71" w:rsidRPr="006523FD">
        <w:rPr>
          <w:lang w:val="nl-BE"/>
        </w:rPr>
        <w:t>aan hem of haar toeschrijft</w:t>
      </w:r>
      <w:r w:rsidRPr="006523FD">
        <w:rPr>
          <w:lang w:val="nl-BE"/>
        </w:rPr>
        <w:t>.</w:t>
      </w:r>
    </w:p>
    <w:p w14:paraId="566BA1A9" w14:textId="6EF5BEC3" w:rsidR="009B112A" w:rsidRPr="0069784D" w:rsidRDefault="009B112A" w:rsidP="009C15CF">
      <w:pPr>
        <w:pStyle w:val="ListParagraph"/>
        <w:numPr>
          <w:ilvl w:val="0"/>
          <w:numId w:val="3"/>
        </w:numPr>
        <w:jc w:val="both"/>
        <w:rPr>
          <w:lang w:val="nl-BE"/>
        </w:rPr>
      </w:pPr>
      <w:r w:rsidRPr="006523FD">
        <w:rPr>
          <w:lang w:val="nl-BE"/>
        </w:rPr>
        <w:t>Ook de ‘</w:t>
      </w:r>
      <w:r w:rsidRPr="006523FD">
        <w:rPr>
          <w:b/>
          <w:bCs/>
          <w:lang w:val="nl-BE"/>
        </w:rPr>
        <w:t>discriminatie bij associatie</w:t>
      </w:r>
      <w:r w:rsidRPr="006523FD">
        <w:rPr>
          <w:lang w:val="nl-BE"/>
        </w:rPr>
        <w:t xml:space="preserve">’ wordt beoogd, zijnde een situatie waarin het slachtoffer geviseerd wordt omwille van een band of </w:t>
      </w:r>
      <w:r w:rsidRPr="0069784D">
        <w:rPr>
          <w:lang w:val="nl-BE"/>
        </w:rPr>
        <w:t xml:space="preserve">een vermeende band met een persoon die één van de bedoelde kenmerken bezit, waarbij het begrip ‘band’ zeer ruim geïnterpreteerd wordt (liefdes- of vriendschapsrelatie, </w:t>
      </w:r>
      <w:r w:rsidR="00725904" w:rsidRPr="0069784D">
        <w:rPr>
          <w:lang w:val="nl-BE"/>
        </w:rPr>
        <w:t>familielid</w:t>
      </w:r>
      <w:r w:rsidRPr="0069784D">
        <w:rPr>
          <w:lang w:val="nl-BE"/>
        </w:rPr>
        <w:t>, collega of zakenpartner, enzovoort).</w:t>
      </w:r>
      <w:r w:rsidR="00482910" w:rsidRPr="0069784D">
        <w:rPr>
          <w:lang w:val="nl-BE"/>
        </w:rPr>
        <w:t xml:space="preserve"> </w:t>
      </w:r>
      <w:r w:rsidRPr="0069784D">
        <w:rPr>
          <w:lang w:val="nl-BE"/>
        </w:rPr>
        <w:t>Het i</w:t>
      </w:r>
      <w:r w:rsidR="00DC3DC6" w:rsidRPr="0069784D">
        <w:rPr>
          <w:lang w:val="nl-BE"/>
        </w:rPr>
        <w:t>s</w:t>
      </w:r>
      <w:r w:rsidRPr="0069784D">
        <w:rPr>
          <w:lang w:val="nl-BE"/>
        </w:rPr>
        <w:t xml:space="preserve"> </w:t>
      </w:r>
      <w:r w:rsidR="00482910" w:rsidRPr="0069784D">
        <w:rPr>
          <w:lang w:val="nl-BE"/>
        </w:rPr>
        <w:t xml:space="preserve">de </w:t>
      </w:r>
      <w:r w:rsidR="00DC3DC6" w:rsidRPr="0069784D">
        <w:rPr>
          <w:lang w:val="nl-BE"/>
        </w:rPr>
        <w:t>discriminerende</w:t>
      </w:r>
      <w:r w:rsidRPr="0069784D">
        <w:rPr>
          <w:lang w:val="nl-BE"/>
        </w:rPr>
        <w:t xml:space="preserve"> drijfveer </w:t>
      </w:r>
      <w:r w:rsidR="00482910" w:rsidRPr="0069784D">
        <w:rPr>
          <w:lang w:val="nl-BE"/>
        </w:rPr>
        <w:t>die</w:t>
      </w:r>
      <w:r w:rsidRPr="0069784D">
        <w:rPr>
          <w:lang w:val="nl-BE"/>
        </w:rPr>
        <w:t xml:space="preserve"> van belang is en niet de aard van deze band. </w:t>
      </w:r>
    </w:p>
    <w:p w14:paraId="7A25BDC9" w14:textId="0CBEBA6E" w:rsidR="009B112A" w:rsidRPr="0069784D" w:rsidRDefault="005B3C71" w:rsidP="009C15CF">
      <w:pPr>
        <w:jc w:val="both"/>
        <w:rPr>
          <w:lang w:val="nl-BE"/>
        </w:rPr>
      </w:pPr>
      <w:r w:rsidRPr="006523FD">
        <w:rPr>
          <w:lang w:val="nl-BE"/>
        </w:rPr>
        <w:t>H</w:t>
      </w:r>
      <w:r w:rsidR="009B112A" w:rsidRPr="006523FD">
        <w:rPr>
          <w:lang w:val="nl-BE"/>
        </w:rPr>
        <w:t xml:space="preserve">et volstaat </w:t>
      </w:r>
      <w:r w:rsidR="009B112A" w:rsidRPr="0069784D">
        <w:rPr>
          <w:lang w:val="nl-BE"/>
        </w:rPr>
        <w:t xml:space="preserve">dat </w:t>
      </w:r>
      <w:r w:rsidR="009B112A" w:rsidRPr="0069784D">
        <w:rPr>
          <w:b/>
          <w:bCs/>
          <w:lang w:val="nl-BE"/>
        </w:rPr>
        <w:t>één</w:t>
      </w:r>
      <w:r w:rsidR="009B112A" w:rsidRPr="0069784D">
        <w:rPr>
          <w:lang w:val="nl-BE"/>
        </w:rPr>
        <w:t xml:space="preserve"> van de drijfveren van de dader van </w:t>
      </w:r>
      <w:r w:rsidR="00DC3DC6" w:rsidRPr="0069784D">
        <w:rPr>
          <w:lang w:val="nl-BE"/>
        </w:rPr>
        <w:t>discriminerende</w:t>
      </w:r>
      <w:r w:rsidR="009B112A" w:rsidRPr="0069784D">
        <w:rPr>
          <w:lang w:val="nl-BE"/>
        </w:rPr>
        <w:t xml:space="preserve"> aard is.</w:t>
      </w:r>
    </w:p>
    <w:p w14:paraId="14EECFB8" w14:textId="564C4A0D" w:rsidR="009B112A" w:rsidRPr="0069784D" w:rsidRDefault="009B112A" w:rsidP="009C15CF">
      <w:pPr>
        <w:jc w:val="both"/>
        <w:rPr>
          <w:lang w:val="nl-BE"/>
        </w:rPr>
      </w:pPr>
      <w:r w:rsidRPr="0069784D">
        <w:rPr>
          <w:lang w:val="nl-BE"/>
        </w:rPr>
        <w:t xml:space="preserve">In de memorie </w:t>
      </w:r>
      <w:r w:rsidRPr="006523FD">
        <w:rPr>
          <w:lang w:val="nl-BE"/>
        </w:rPr>
        <w:t xml:space="preserve">van toelichting wordt aangegeven dat deze bepaling de mogelijkheid biedt om meervoudige discriminatie te identificeren, maar het is niet duidelijk hoe deze precisering </w:t>
      </w:r>
      <w:r w:rsidR="00407F0E" w:rsidRPr="006523FD">
        <w:rPr>
          <w:lang w:val="nl-BE"/>
        </w:rPr>
        <w:t xml:space="preserve">enige meerwaarde </w:t>
      </w:r>
      <w:r w:rsidRPr="006523FD">
        <w:rPr>
          <w:lang w:val="nl-BE"/>
        </w:rPr>
        <w:t>inhoudt (</w:t>
      </w:r>
      <w:r w:rsidR="00407F0E" w:rsidRPr="006523FD">
        <w:rPr>
          <w:lang w:val="nl-BE"/>
        </w:rPr>
        <w:t xml:space="preserve">al is het maar gezien </w:t>
      </w:r>
      <w:r w:rsidRPr="006523FD">
        <w:rPr>
          <w:lang w:val="nl-BE"/>
        </w:rPr>
        <w:t xml:space="preserve">‘één of meerdere kenmerken’ </w:t>
      </w:r>
      <w:r w:rsidR="00407F0E" w:rsidRPr="006523FD">
        <w:rPr>
          <w:lang w:val="nl-BE"/>
        </w:rPr>
        <w:t>worden beoogd in de definitie van ‘</w:t>
      </w:r>
      <w:r w:rsidRPr="006523FD">
        <w:rPr>
          <w:lang w:val="nl-BE"/>
        </w:rPr>
        <w:t xml:space="preserve">discriminatie bij associatie’). </w:t>
      </w:r>
    </w:p>
    <w:p w14:paraId="38167DAD" w14:textId="77777777" w:rsidR="00D34618" w:rsidRPr="0069784D" w:rsidRDefault="00D34618" w:rsidP="009C15CF">
      <w:pPr>
        <w:jc w:val="both"/>
        <w:rPr>
          <w:lang w:val="nl-BE"/>
        </w:rPr>
      </w:pPr>
    </w:p>
    <w:p w14:paraId="222D1391" w14:textId="77777777" w:rsidR="009B112A" w:rsidRPr="0069784D" w:rsidRDefault="009B112A" w:rsidP="009C15CF">
      <w:pPr>
        <w:jc w:val="both"/>
        <w:rPr>
          <w:bCs/>
          <w:sz w:val="28"/>
          <w:szCs w:val="28"/>
          <w:lang w:val="nl-BE"/>
        </w:rPr>
      </w:pPr>
      <w:r w:rsidRPr="0069784D">
        <w:rPr>
          <w:bCs/>
          <w:color w:val="000000"/>
          <w:sz w:val="28"/>
          <w:szCs w:val="28"/>
          <w:lang w:val="nl-BE"/>
        </w:rPr>
        <w:t>Artikel 417/21 -</w:t>
      </w:r>
      <w:r w:rsidRPr="0069784D">
        <w:rPr>
          <w:bCs/>
          <w:sz w:val="28"/>
          <w:szCs w:val="28"/>
          <w:lang w:val="nl-BE"/>
        </w:rPr>
        <w:t xml:space="preserve"> </w:t>
      </w:r>
      <w:r w:rsidRPr="0069784D">
        <w:rPr>
          <w:bCs/>
          <w:color w:val="000000"/>
          <w:sz w:val="27"/>
          <w:szCs w:val="27"/>
          <w:lang w:val="nl-BE"/>
        </w:rPr>
        <w:t>Niet-consensuele seksuele handelingen gepleegd door een persoon die zich in een gezags- of vertrouwenspositie bevindt ten aanzien van het slachtoffer</w:t>
      </w:r>
    </w:p>
    <w:p w14:paraId="1EF689C6" w14:textId="77777777" w:rsidR="00044D70" w:rsidRPr="0069784D" w:rsidRDefault="00044D70" w:rsidP="009C15CF">
      <w:pPr>
        <w:jc w:val="both"/>
        <w:rPr>
          <w:lang w:val="nl-BE"/>
        </w:rPr>
      </w:pPr>
    </w:p>
    <w:p w14:paraId="36546AE2" w14:textId="7D902C0A" w:rsidR="009B112A" w:rsidRPr="0069784D" w:rsidRDefault="009B112A" w:rsidP="009C15CF">
      <w:pPr>
        <w:jc w:val="both"/>
        <w:rPr>
          <w:lang w:val="nl-BE"/>
        </w:rPr>
      </w:pPr>
      <w:r w:rsidRPr="0069784D">
        <w:rPr>
          <w:lang w:val="nl-BE"/>
        </w:rPr>
        <w:t xml:space="preserve">De wetgever viseert personen met een erkende vertrouwens-, gezags- en invloedspositie ten aanzien van het slachtoffer. </w:t>
      </w:r>
    </w:p>
    <w:p w14:paraId="5F952555" w14:textId="64A44436" w:rsidR="009B112A" w:rsidRPr="0069784D" w:rsidRDefault="009B112A" w:rsidP="009C15CF">
      <w:pPr>
        <w:jc w:val="both"/>
        <w:rPr>
          <w:lang w:val="nl-BE"/>
        </w:rPr>
      </w:pPr>
      <w:r w:rsidRPr="0069784D">
        <w:rPr>
          <w:lang w:val="nl-BE"/>
        </w:rPr>
        <w:t xml:space="preserve">In tegenstelling tot de bepalingen inzake de toestemming gaat het hierbij niet om het misbruik van deze positie. Het bestaan van deze positie en het besef dat de dader ervan heeft of zou moeten hebben, volstaan om de verzwarende omstandigheid toe te passen wanneer vaststaat dat er niet met de seksuele handeling ingestemd werd.  </w:t>
      </w:r>
    </w:p>
    <w:p w14:paraId="77C627C9" w14:textId="1ACF541C" w:rsidR="009B112A" w:rsidRPr="0069784D" w:rsidRDefault="009B112A" w:rsidP="009C15CF">
      <w:pPr>
        <w:jc w:val="both"/>
        <w:rPr>
          <w:lang w:val="nl-BE"/>
        </w:rPr>
      </w:pPr>
      <w:r w:rsidRPr="0069784D">
        <w:rPr>
          <w:lang w:val="nl-BE"/>
        </w:rPr>
        <w:lastRenderedPageBreak/>
        <w:t xml:space="preserve">Deze definitie omvat een aantal verzwarende omstandigheden uit het vroegere artikel 377 van het Strafwetboek. In de nieuwe </w:t>
      </w:r>
      <w:r w:rsidRPr="006523FD">
        <w:rPr>
          <w:lang w:val="nl-BE"/>
        </w:rPr>
        <w:t xml:space="preserve">tekst </w:t>
      </w:r>
      <w:r w:rsidR="00407F0E" w:rsidRPr="006523FD">
        <w:rPr>
          <w:lang w:val="nl-BE"/>
        </w:rPr>
        <w:t xml:space="preserve">is </w:t>
      </w:r>
      <w:r w:rsidRPr="006523FD">
        <w:rPr>
          <w:lang w:val="nl-BE"/>
        </w:rPr>
        <w:t xml:space="preserve">niet </w:t>
      </w:r>
      <w:r w:rsidRPr="0069784D">
        <w:rPr>
          <w:lang w:val="nl-BE"/>
        </w:rPr>
        <w:t>langer sprake van ‘d</w:t>
      </w:r>
      <w:r w:rsidRPr="0069784D">
        <w:rPr>
          <w:color w:val="000000"/>
          <w:lang w:val="nl-BE"/>
        </w:rPr>
        <w:t xml:space="preserve">e faciliteiten die zijn functies hem verlenen’, zonder dat evenwel een bijzonder motief naar voren geschoven wordt. </w:t>
      </w:r>
    </w:p>
    <w:p w14:paraId="07F1382B" w14:textId="77777777" w:rsidR="009B112A" w:rsidRPr="0069784D" w:rsidRDefault="009B112A" w:rsidP="009C15CF">
      <w:pPr>
        <w:jc w:val="both"/>
        <w:rPr>
          <w:lang w:val="nl-BE"/>
        </w:rPr>
      </w:pPr>
    </w:p>
    <w:p w14:paraId="4C047DB2" w14:textId="77777777" w:rsidR="009B112A" w:rsidRPr="0069784D" w:rsidRDefault="009B112A" w:rsidP="009C15CF">
      <w:pPr>
        <w:jc w:val="both"/>
        <w:rPr>
          <w:bCs/>
          <w:sz w:val="28"/>
          <w:szCs w:val="28"/>
          <w:lang w:val="nl-BE"/>
        </w:rPr>
      </w:pPr>
      <w:r w:rsidRPr="0069784D">
        <w:rPr>
          <w:bCs/>
          <w:color w:val="000000"/>
          <w:sz w:val="28"/>
          <w:szCs w:val="28"/>
          <w:lang w:val="nl-BE"/>
        </w:rPr>
        <w:t>Artikel 417/22 -</w:t>
      </w:r>
      <w:r w:rsidRPr="0069784D">
        <w:rPr>
          <w:bCs/>
          <w:sz w:val="28"/>
          <w:szCs w:val="28"/>
          <w:lang w:val="nl-BE"/>
        </w:rPr>
        <w:t xml:space="preserve"> </w:t>
      </w:r>
      <w:r w:rsidRPr="0069784D">
        <w:rPr>
          <w:bCs/>
          <w:color w:val="000000"/>
          <w:sz w:val="27"/>
          <w:szCs w:val="27"/>
          <w:lang w:val="nl-BE"/>
        </w:rPr>
        <w:t>Niet-consensuele seksuele handelingen gepleegd met de hulp of in aanwezigheid van een of meer personen</w:t>
      </w:r>
    </w:p>
    <w:p w14:paraId="509E956E" w14:textId="77777777" w:rsidR="00044D70" w:rsidRPr="0069784D" w:rsidRDefault="00044D70" w:rsidP="009C15CF">
      <w:pPr>
        <w:jc w:val="both"/>
        <w:rPr>
          <w:lang w:val="nl-BE"/>
        </w:rPr>
      </w:pPr>
    </w:p>
    <w:p w14:paraId="6356F8B8" w14:textId="47C1A81E" w:rsidR="009B112A" w:rsidRPr="0069784D" w:rsidRDefault="009B112A" w:rsidP="009C15CF">
      <w:pPr>
        <w:jc w:val="both"/>
        <w:rPr>
          <w:lang w:val="nl-BE"/>
        </w:rPr>
      </w:pPr>
      <w:r w:rsidRPr="0069784D">
        <w:rPr>
          <w:lang w:val="nl-BE"/>
        </w:rPr>
        <w:t xml:space="preserve">Deze verzwarende omstandigheid is eveneens van toepassing op alle aantastingen van de seksuele integriteit, wat niet het geval was voor de verzwarende omstandigheid uit artikel 377, lid 1, vierde streepje, dat niet van toepassing was </w:t>
      </w:r>
      <w:r w:rsidR="00407F0E" w:rsidRPr="006523FD">
        <w:rPr>
          <w:lang w:val="nl-BE"/>
        </w:rPr>
        <w:t xml:space="preserve">in geval van aanranding </w:t>
      </w:r>
      <w:r w:rsidRPr="006523FD">
        <w:rPr>
          <w:lang w:val="nl-BE"/>
        </w:rPr>
        <w:t xml:space="preserve">van de </w:t>
      </w:r>
      <w:r w:rsidRPr="0069784D">
        <w:rPr>
          <w:lang w:val="nl-BE"/>
        </w:rPr>
        <w:t xml:space="preserve">eerbaarheid zonder geweld of bedreigingen ten aanzien van een minderjarige (geen verwijzing naar artikel 372 van het Strafwetboek).  </w:t>
      </w:r>
    </w:p>
    <w:p w14:paraId="1A9089A1" w14:textId="77777777" w:rsidR="009B112A" w:rsidRPr="0069784D" w:rsidRDefault="009B112A" w:rsidP="009C15CF">
      <w:pPr>
        <w:jc w:val="both"/>
        <w:rPr>
          <w:lang w:val="nl-BE"/>
        </w:rPr>
      </w:pPr>
    </w:p>
    <w:p w14:paraId="35FCB6B6" w14:textId="77777777" w:rsidR="009B112A" w:rsidRPr="0069784D" w:rsidRDefault="009B112A" w:rsidP="009C15CF">
      <w:pPr>
        <w:jc w:val="both"/>
        <w:rPr>
          <w:color w:val="000000"/>
          <w:sz w:val="32"/>
          <w:szCs w:val="32"/>
          <w:lang w:val="nl-BE"/>
        </w:rPr>
      </w:pPr>
      <w:r w:rsidRPr="0069784D">
        <w:rPr>
          <w:color w:val="000000"/>
          <w:sz w:val="32"/>
          <w:szCs w:val="32"/>
          <w:lang w:val="nl-BE"/>
        </w:rPr>
        <w:t>Onderafdeling 4: Algemene bepaling</w:t>
      </w:r>
    </w:p>
    <w:p w14:paraId="3AFA3A10" w14:textId="77777777" w:rsidR="009B112A" w:rsidRPr="0069784D" w:rsidRDefault="009B112A" w:rsidP="009C15CF">
      <w:pPr>
        <w:jc w:val="both"/>
        <w:rPr>
          <w:color w:val="000000"/>
          <w:lang w:val="nl-BE"/>
        </w:rPr>
      </w:pPr>
    </w:p>
    <w:p w14:paraId="2C923867" w14:textId="77777777" w:rsidR="009B112A" w:rsidRPr="0069784D" w:rsidRDefault="009B112A" w:rsidP="009C15CF">
      <w:pPr>
        <w:jc w:val="both"/>
        <w:rPr>
          <w:bCs/>
          <w:sz w:val="28"/>
          <w:szCs w:val="28"/>
          <w:lang w:val="nl-BE"/>
        </w:rPr>
      </w:pPr>
      <w:r w:rsidRPr="0069784D">
        <w:rPr>
          <w:bCs/>
          <w:sz w:val="28"/>
          <w:szCs w:val="28"/>
          <w:lang w:val="nl-BE"/>
        </w:rPr>
        <w:t>Artikel 417/23 – Verzwarende factoren</w:t>
      </w:r>
    </w:p>
    <w:p w14:paraId="5D4B4D3E" w14:textId="77777777" w:rsidR="00044D70" w:rsidRPr="0069784D" w:rsidRDefault="00044D70" w:rsidP="009C15CF">
      <w:pPr>
        <w:jc w:val="both"/>
        <w:rPr>
          <w:lang w:val="nl-BE"/>
        </w:rPr>
      </w:pPr>
    </w:p>
    <w:p w14:paraId="008A90ED" w14:textId="411FCB6F" w:rsidR="009B112A" w:rsidRPr="0069784D" w:rsidRDefault="009B112A" w:rsidP="009C15CF">
      <w:pPr>
        <w:jc w:val="both"/>
        <w:rPr>
          <w:lang w:val="nl-BE"/>
        </w:rPr>
      </w:pPr>
      <w:r w:rsidRPr="0069784D">
        <w:rPr>
          <w:lang w:val="nl-BE"/>
        </w:rPr>
        <w:t xml:space="preserve">In vergelijking met de werkzaamheden van de </w:t>
      </w:r>
      <w:r w:rsidRPr="00972BEC">
        <w:rPr>
          <w:lang w:val="nl-BE"/>
        </w:rPr>
        <w:t>Commissie voor de Hervorming van het Strafrecht werd één en ander ‘teruggeschroefd’ aangezien het nieuwe seksueel strafrecht</w:t>
      </w:r>
      <w:r w:rsidR="000D2D02" w:rsidRPr="00972BEC">
        <w:rPr>
          <w:lang w:val="nl-BE"/>
        </w:rPr>
        <w:t>, hetwelk normalitair deel zou uitmaken van het globale toekomstige nieuwe strafwetboek</w:t>
      </w:r>
      <w:r w:rsidR="00972BEC" w:rsidRPr="00972BEC">
        <w:rPr>
          <w:lang w:val="nl-BE"/>
        </w:rPr>
        <w:t xml:space="preserve"> </w:t>
      </w:r>
      <w:r w:rsidR="000D2D02" w:rsidRPr="00972BEC">
        <w:rPr>
          <w:lang w:val="nl-BE"/>
        </w:rPr>
        <w:t xml:space="preserve">alsnog </w:t>
      </w:r>
      <w:r w:rsidRPr="00972BEC">
        <w:rPr>
          <w:lang w:val="nl-BE"/>
        </w:rPr>
        <w:t xml:space="preserve">in de huidige versie van het Strafwetboek </w:t>
      </w:r>
      <w:r w:rsidR="000D2D02" w:rsidRPr="00972BEC">
        <w:rPr>
          <w:lang w:val="nl-BE"/>
        </w:rPr>
        <w:t>opgenomen diende te worden.</w:t>
      </w:r>
    </w:p>
    <w:p w14:paraId="5EE68ED7" w14:textId="5823EF17" w:rsidR="009B112A" w:rsidRPr="00972BEC" w:rsidRDefault="000D2D02" w:rsidP="009C15CF">
      <w:pPr>
        <w:jc w:val="both"/>
        <w:rPr>
          <w:lang w:val="nl-BE"/>
        </w:rPr>
      </w:pPr>
      <w:r w:rsidRPr="00972BEC">
        <w:rPr>
          <w:lang w:val="nl-BE"/>
        </w:rPr>
        <w:t>Anticiperend op het toekomstige begrippenkader, werd h</w:t>
      </w:r>
      <w:r w:rsidR="009B112A" w:rsidRPr="00972BEC">
        <w:rPr>
          <w:lang w:val="nl-BE"/>
        </w:rPr>
        <w:t>et nieuwe begrip ‘verzwarende factor’</w:t>
      </w:r>
      <w:r w:rsidRPr="00972BEC">
        <w:rPr>
          <w:lang w:val="nl-BE"/>
        </w:rPr>
        <w:t xml:space="preserve"> geïntroduceerd</w:t>
      </w:r>
      <w:r w:rsidR="009B112A" w:rsidRPr="00972BEC">
        <w:rPr>
          <w:lang w:val="nl-BE"/>
        </w:rPr>
        <w:t xml:space="preserve">. Het gaat om omstandigheden waarmee de rechter rekening houdt bij de keuze voor </w:t>
      </w:r>
      <w:r w:rsidRPr="00972BEC">
        <w:rPr>
          <w:lang w:val="nl-BE"/>
        </w:rPr>
        <w:t xml:space="preserve">een bepaalde straf </w:t>
      </w:r>
      <w:r w:rsidR="009B112A" w:rsidRPr="00972BEC">
        <w:rPr>
          <w:lang w:val="nl-BE"/>
        </w:rPr>
        <w:t xml:space="preserve">en het bepalen van de strafmaat binnen de </w:t>
      </w:r>
      <w:r w:rsidRPr="00972BEC">
        <w:rPr>
          <w:lang w:val="nl-BE"/>
        </w:rPr>
        <w:t>minimu</w:t>
      </w:r>
      <w:r w:rsidR="003B1F41">
        <w:rPr>
          <w:lang w:val="nl-BE"/>
        </w:rPr>
        <w:t>m</w:t>
      </w:r>
      <w:r w:rsidRPr="00972BEC">
        <w:rPr>
          <w:lang w:val="nl-BE"/>
        </w:rPr>
        <w:t xml:space="preserve">- en maximumgrens van de daartoe voorziene </w:t>
      </w:r>
      <w:r w:rsidR="009B112A" w:rsidRPr="00972BEC">
        <w:rPr>
          <w:lang w:val="nl-BE"/>
        </w:rPr>
        <w:t xml:space="preserve">wettelijke </w:t>
      </w:r>
      <w:r w:rsidRPr="00972BEC">
        <w:rPr>
          <w:lang w:val="nl-BE"/>
        </w:rPr>
        <w:t>straf</w:t>
      </w:r>
      <w:r w:rsidR="009B112A" w:rsidRPr="00972BEC">
        <w:rPr>
          <w:lang w:val="nl-BE"/>
        </w:rPr>
        <w:t>vork</w:t>
      </w:r>
      <w:r w:rsidR="00972BEC" w:rsidRPr="00972BEC">
        <w:rPr>
          <w:lang w:val="nl-BE"/>
        </w:rPr>
        <w:t>.</w:t>
      </w:r>
    </w:p>
    <w:p w14:paraId="4E02B788" w14:textId="61F8618B" w:rsidR="009B112A" w:rsidRPr="0069784D" w:rsidRDefault="009B112A" w:rsidP="009C15CF">
      <w:pPr>
        <w:jc w:val="both"/>
        <w:rPr>
          <w:lang w:val="nl-BE"/>
        </w:rPr>
      </w:pPr>
      <w:r w:rsidRPr="0069784D">
        <w:rPr>
          <w:lang w:val="nl-BE"/>
        </w:rPr>
        <w:t>De rechter dient zijn keuze te motiveren in het licht van de verzwarende factoren. Indien er conclusies neergelegd worden met betrekking tot dit punt, dient de rechter hier</w:t>
      </w:r>
      <w:r w:rsidR="00972BEC">
        <w:rPr>
          <w:color w:val="FF0000"/>
          <w:lang w:val="nl-BE"/>
        </w:rPr>
        <w:t xml:space="preserve"> </w:t>
      </w:r>
      <w:r w:rsidRPr="0069784D">
        <w:rPr>
          <w:lang w:val="nl-BE"/>
        </w:rPr>
        <w:t>op te antwoorden</w:t>
      </w:r>
      <w:r w:rsidR="00DC3DC6" w:rsidRPr="0069784D">
        <w:rPr>
          <w:rStyle w:val="FootnoteReference"/>
          <w:lang w:val="nl-BE"/>
        </w:rPr>
        <w:footnoteReference w:customMarkFollows="1" w:id="60"/>
        <w:t>60</w:t>
      </w:r>
      <w:r w:rsidRPr="0069784D">
        <w:rPr>
          <w:lang w:val="nl-BE"/>
        </w:rPr>
        <w:t xml:space="preserve">. </w:t>
      </w:r>
    </w:p>
    <w:p w14:paraId="5947B126" w14:textId="2B4D6940" w:rsidR="009B112A" w:rsidRPr="0069784D" w:rsidRDefault="000D2D02" w:rsidP="009C15CF">
      <w:pPr>
        <w:jc w:val="both"/>
        <w:rPr>
          <w:b/>
          <w:lang w:val="nl-BE"/>
        </w:rPr>
      </w:pPr>
      <w:r w:rsidRPr="00972BEC">
        <w:rPr>
          <w:b/>
          <w:lang w:val="nl-BE"/>
        </w:rPr>
        <w:t>Het</w:t>
      </w:r>
      <w:r w:rsidR="00972BEC" w:rsidRPr="00972BEC">
        <w:rPr>
          <w:b/>
          <w:lang w:val="nl-BE"/>
        </w:rPr>
        <w:t xml:space="preserve"> wordt</w:t>
      </w:r>
      <w:r w:rsidR="009B112A" w:rsidRPr="00972BEC">
        <w:rPr>
          <w:b/>
          <w:lang w:val="nl-BE"/>
        </w:rPr>
        <w:t xml:space="preserve"> aanbevolen dat het </w:t>
      </w:r>
      <w:r w:rsidRPr="00972BEC">
        <w:rPr>
          <w:b/>
          <w:lang w:val="nl-BE"/>
        </w:rPr>
        <w:t>o</w:t>
      </w:r>
      <w:r w:rsidR="009B112A" w:rsidRPr="00972BEC">
        <w:rPr>
          <w:b/>
          <w:lang w:val="nl-BE"/>
        </w:rPr>
        <w:t xml:space="preserve">penbaar </w:t>
      </w:r>
      <w:r w:rsidRPr="00972BEC">
        <w:rPr>
          <w:b/>
          <w:lang w:val="nl-BE"/>
        </w:rPr>
        <w:t>m</w:t>
      </w:r>
      <w:r w:rsidR="009B112A" w:rsidRPr="00972BEC">
        <w:rPr>
          <w:b/>
          <w:lang w:val="nl-BE"/>
        </w:rPr>
        <w:t xml:space="preserve">inisterie in zijn </w:t>
      </w:r>
      <w:r w:rsidR="00482910" w:rsidRPr="00972BEC">
        <w:rPr>
          <w:b/>
          <w:lang w:val="nl-BE"/>
        </w:rPr>
        <w:t>recht</w:t>
      </w:r>
      <w:r w:rsidR="00B725CB" w:rsidRPr="00972BEC">
        <w:rPr>
          <w:b/>
          <w:lang w:val="nl-BE"/>
        </w:rPr>
        <w:t>s</w:t>
      </w:r>
      <w:r w:rsidR="00482910" w:rsidRPr="00972BEC">
        <w:rPr>
          <w:b/>
          <w:lang w:val="nl-BE"/>
        </w:rPr>
        <w:t>plegingstukken</w:t>
      </w:r>
      <w:r w:rsidR="009B112A" w:rsidRPr="00972BEC">
        <w:rPr>
          <w:b/>
          <w:lang w:val="nl-BE"/>
        </w:rPr>
        <w:t xml:space="preserve"> (vorderingen en dagvaardingen) deze verzwarende factoren </w:t>
      </w:r>
      <w:r w:rsidRPr="00972BEC">
        <w:rPr>
          <w:b/>
          <w:lang w:val="nl-BE"/>
        </w:rPr>
        <w:t xml:space="preserve">in de mate van het mogelijke </w:t>
      </w:r>
      <w:r w:rsidR="009B112A" w:rsidRPr="00972BEC">
        <w:rPr>
          <w:b/>
          <w:lang w:val="nl-BE"/>
        </w:rPr>
        <w:t>aangeeft</w:t>
      </w:r>
      <w:r>
        <w:rPr>
          <w:b/>
          <w:lang w:val="nl-BE"/>
        </w:rPr>
        <w:t>.</w:t>
      </w:r>
    </w:p>
    <w:p w14:paraId="2E63E95B" w14:textId="77777777" w:rsidR="009B112A" w:rsidRPr="0069784D" w:rsidRDefault="009B112A" w:rsidP="009C15CF">
      <w:pPr>
        <w:jc w:val="both"/>
        <w:rPr>
          <w:lang w:val="nl-BE"/>
        </w:rPr>
      </w:pPr>
      <w:r w:rsidRPr="0069784D">
        <w:rPr>
          <w:lang w:val="nl-BE"/>
        </w:rPr>
        <w:t>Het gaat hierbij om volgende verzwarende omstandigheden:</w:t>
      </w:r>
    </w:p>
    <w:p w14:paraId="49FC06C6" w14:textId="3BD25A64" w:rsidR="009B112A" w:rsidRPr="0069784D" w:rsidRDefault="009B112A" w:rsidP="009C15CF">
      <w:pPr>
        <w:pStyle w:val="ListParagraph"/>
        <w:numPr>
          <w:ilvl w:val="0"/>
          <w:numId w:val="2"/>
        </w:numPr>
        <w:jc w:val="both"/>
        <w:rPr>
          <w:lang w:val="nl-BE"/>
        </w:rPr>
      </w:pPr>
      <w:r w:rsidRPr="0069784D">
        <w:rPr>
          <w:color w:val="000000"/>
          <w:lang w:val="nl-BE"/>
        </w:rPr>
        <w:t xml:space="preserve">de dader is een bloedverwant in de zijlijn tot de derde graad van het slachtoffer, dan wel een aanverwant in de rechte lijn of in de zijlijn tot de derde graad, heeft gezag over het slachtoffer, </w:t>
      </w:r>
      <w:r w:rsidRPr="0069784D">
        <w:rPr>
          <w:color w:val="000000"/>
          <w:lang w:val="nl-BE"/>
        </w:rPr>
        <w:lastRenderedPageBreak/>
        <w:t xml:space="preserve">heeft hem onder zijn bewaring of </w:t>
      </w:r>
      <w:r w:rsidR="00405FDB" w:rsidRPr="0069784D">
        <w:rPr>
          <w:color w:val="000000"/>
          <w:lang w:val="nl-BE"/>
        </w:rPr>
        <w:t xml:space="preserve">woont </w:t>
      </w:r>
      <w:r w:rsidRPr="0069784D">
        <w:rPr>
          <w:color w:val="000000"/>
          <w:lang w:val="nl-BE"/>
        </w:rPr>
        <w:t xml:space="preserve">occasioneel of gewoonlijk met het slachtoffer samen of heeft </w:t>
      </w:r>
      <w:r w:rsidR="00405FDB" w:rsidRPr="0069784D">
        <w:rPr>
          <w:color w:val="000000"/>
          <w:lang w:val="nl-BE"/>
        </w:rPr>
        <w:t xml:space="preserve">met hem </w:t>
      </w:r>
      <w:r w:rsidRPr="0069784D">
        <w:rPr>
          <w:color w:val="000000"/>
          <w:lang w:val="nl-BE"/>
        </w:rPr>
        <w:t>samengewoond;</w:t>
      </w:r>
    </w:p>
    <w:p w14:paraId="649CB50A" w14:textId="77777777" w:rsidR="009B112A" w:rsidRPr="0069784D" w:rsidRDefault="009B112A" w:rsidP="009C15CF">
      <w:pPr>
        <w:pStyle w:val="ListParagraph"/>
        <w:numPr>
          <w:ilvl w:val="0"/>
          <w:numId w:val="2"/>
        </w:numPr>
        <w:jc w:val="both"/>
        <w:rPr>
          <w:lang w:val="nl-BE"/>
        </w:rPr>
      </w:pPr>
      <w:r w:rsidRPr="0069784D">
        <w:rPr>
          <w:color w:val="000000"/>
          <w:lang w:val="nl-BE"/>
        </w:rPr>
        <w:t>het misdrijf werd gepleegd door een persoon met een openbare functie in het kader van de uitoefening van deze functie;</w:t>
      </w:r>
    </w:p>
    <w:p w14:paraId="6ADA3C0A" w14:textId="77777777" w:rsidR="009B112A" w:rsidRPr="0069784D" w:rsidRDefault="009B112A" w:rsidP="009C15CF">
      <w:pPr>
        <w:pStyle w:val="ListParagraph"/>
        <w:numPr>
          <w:ilvl w:val="0"/>
          <w:numId w:val="2"/>
        </w:numPr>
        <w:jc w:val="both"/>
        <w:rPr>
          <w:lang w:val="nl-BE"/>
        </w:rPr>
      </w:pPr>
      <w:r w:rsidRPr="0069784D">
        <w:rPr>
          <w:color w:val="000000"/>
          <w:lang w:val="nl-BE"/>
        </w:rPr>
        <w:t>het misdrijf werd gepleegd door een arts of een andere gezondheidswerker in de uitoefening van zijn functie;</w:t>
      </w:r>
    </w:p>
    <w:p w14:paraId="513E2BB1" w14:textId="77777777" w:rsidR="009B112A" w:rsidRPr="0069784D" w:rsidRDefault="009B112A" w:rsidP="009C15CF">
      <w:pPr>
        <w:pStyle w:val="ListParagraph"/>
        <w:numPr>
          <w:ilvl w:val="0"/>
          <w:numId w:val="2"/>
        </w:numPr>
        <w:jc w:val="both"/>
        <w:rPr>
          <w:lang w:val="nl-BE"/>
        </w:rPr>
      </w:pPr>
      <w:r w:rsidRPr="0069784D">
        <w:rPr>
          <w:color w:val="000000"/>
          <w:lang w:val="nl-BE"/>
        </w:rPr>
        <w:t>het misdrijf werd gepleegd op een minderjarige beneden de volle leeftijd van tien jaar;</w:t>
      </w:r>
    </w:p>
    <w:p w14:paraId="591EFA0B" w14:textId="77777777" w:rsidR="009B112A" w:rsidRPr="0069784D" w:rsidRDefault="009B112A" w:rsidP="009C15CF">
      <w:pPr>
        <w:pStyle w:val="ListParagraph"/>
        <w:numPr>
          <w:ilvl w:val="0"/>
          <w:numId w:val="2"/>
        </w:numPr>
        <w:jc w:val="both"/>
        <w:rPr>
          <w:lang w:val="nl-BE"/>
        </w:rPr>
      </w:pPr>
      <w:r w:rsidRPr="0069784D">
        <w:rPr>
          <w:color w:val="000000"/>
          <w:lang w:val="nl-BE"/>
        </w:rPr>
        <w:t>het misdrijf werd gepleegd op een minderjarige beneden de volle leeftijd van zestien jaar en is voorafgegaan door een benadering van deze minderjarige vanwege de dader met het oogmerk op een later tijdstip de in deze afdeling bepaalde feiten te plegen;</w:t>
      </w:r>
    </w:p>
    <w:p w14:paraId="146B628C" w14:textId="77777777" w:rsidR="009B112A" w:rsidRPr="0069784D" w:rsidRDefault="009B112A" w:rsidP="009C15CF">
      <w:pPr>
        <w:pStyle w:val="ListParagraph"/>
        <w:numPr>
          <w:ilvl w:val="0"/>
          <w:numId w:val="2"/>
        </w:numPr>
        <w:jc w:val="both"/>
        <w:rPr>
          <w:lang w:val="nl-BE"/>
        </w:rPr>
      </w:pPr>
      <w:r w:rsidRPr="0069784D">
        <w:rPr>
          <w:color w:val="000000"/>
          <w:lang w:val="nl-BE"/>
        </w:rPr>
        <w:t>het misdrijf werd gepleegd in aanwezigheid van een minderjarige;</w:t>
      </w:r>
    </w:p>
    <w:p w14:paraId="76B05392" w14:textId="18B52E79" w:rsidR="009B112A" w:rsidRPr="0069784D" w:rsidRDefault="009B112A" w:rsidP="009C15CF">
      <w:pPr>
        <w:pStyle w:val="ListParagraph"/>
        <w:numPr>
          <w:ilvl w:val="0"/>
          <w:numId w:val="2"/>
        </w:numPr>
        <w:jc w:val="both"/>
        <w:rPr>
          <w:lang w:val="nl-BE"/>
        </w:rPr>
      </w:pPr>
      <w:r w:rsidRPr="0069784D">
        <w:rPr>
          <w:color w:val="000000"/>
          <w:lang w:val="nl-BE"/>
        </w:rPr>
        <w:t>het misdrijf werd gepleegd omwille van culturele drijfveren, gewoontes, tradities, religie of de zogenaamde "eer"</w:t>
      </w:r>
      <w:r w:rsidR="00313221" w:rsidRPr="0069784D">
        <w:rPr>
          <w:rStyle w:val="FootnoteReference"/>
          <w:color w:val="000000"/>
          <w:lang w:val="nl-BE"/>
        </w:rPr>
        <w:footnoteReference w:customMarkFollows="1" w:id="61"/>
        <w:t>61</w:t>
      </w:r>
      <w:r w:rsidRPr="0069784D">
        <w:rPr>
          <w:color w:val="000000"/>
          <w:lang w:val="nl-BE"/>
        </w:rPr>
        <w:t>.</w:t>
      </w:r>
    </w:p>
    <w:p w14:paraId="65830983" w14:textId="77777777" w:rsidR="009B112A" w:rsidRPr="0069784D" w:rsidRDefault="009B112A" w:rsidP="009C15CF">
      <w:pPr>
        <w:pStyle w:val="ListParagraph"/>
        <w:jc w:val="both"/>
        <w:rPr>
          <w:lang w:val="nl-BE"/>
        </w:rPr>
      </w:pPr>
    </w:p>
    <w:p w14:paraId="6F10E1FF" w14:textId="77777777" w:rsidR="009B112A" w:rsidRPr="0069784D" w:rsidRDefault="009B112A" w:rsidP="009C15CF">
      <w:pPr>
        <w:jc w:val="both"/>
        <w:rPr>
          <w:sz w:val="36"/>
          <w:szCs w:val="36"/>
          <w:lang w:val="nl-BE"/>
        </w:rPr>
      </w:pPr>
      <w:r w:rsidRPr="0069784D">
        <w:rPr>
          <w:sz w:val="36"/>
          <w:szCs w:val="36"/>
          <w:lang w:val="nl-BE"/>
        </w:rPr>
        <w:t>Afdeling 2: Seksuele uitbuiting van minderjarigen</w:t>
      </w:r>
    </w:p>
    <w:p w14:paraId="75BAD3B1" w14:textId="77777777" w:rsidR="009B112A" w:rsidRPr="0069784D" w:rsidRDefault="009B112A" w:rsidP="009C15CF">
      <w:pPr>
        <w:jc w:val="both"/>
        <w:rPr>
          <w:lang w:val="nl-BE"/>
        </w:rPr>
      </w:pPr>
    </w:p>
    <w:p w14:paraId="1B582869" w14:textId="46072299" w:rsidR="009B112A" w:rsidRPr="0069784D" w:rsidRDefault="009C3FDE" w:rsidP="009C15CF">
      <w:pPr>
        <w:jc w:val="both"/>
        <w:rPr>
          <w:lang w:val="nl-BE"/>
        </w:rPr>
      </w:pPr>
      <w:r w:rsidRPr="0069784D">
        <w:rPr>
          <w:lang w:val="nl-BE"/>
        </w:rPr>
        <w:t>De eerste nieuwigheid bestaat erin dat de wetgever alle bepalingen inzake de seksuele uitbuiting van minderjarigen in één enkel</w:t>
      </w:r>
      <w:r w:rsidR="00482910" w:rsidRPr="0069784D">
        <w:rPr>
          <w:lang w:val="nl-BE"/>
        </w:rPr>
        <w:t>e</w:t>
      </w:r>
      <w:r w:rsidRPr="0069784D">
        <w:rPr>
          <w:lang w:val="nl-BE"/>
        </w:rPr>
        <w:t xml:space="preserve"> afdeling samenbrengt</w:t>
      </w:r>
      <w:r w:rsidR="00172E85" w:rsidRPr="0069784D">
        <w:rPr>
          <w:lang w:val="nl-BE"/>
        </w:rPr>
        <w:t>.</w:t>
      </w:r>
    </w:p>
    <w:p w14:paraId="20130868" w14:textId="44BCBCDB" w:rsidR="009B112A" w:rsidRPr="0069784D" w:rsidRDefault="009C3FDE" w:rsidP="009C15CF">
      <w:pPr>
        <w:jc w:val="both"/>
        <w:rPr>
          <w:lang w:val="nl-BE"/>
        </w:rPr>
      </w:pPr>
      <w:r w:rsidRPr="0069784D">
        <w:rPr>
          <w:lang w:val="nl-BE"/>
        </w:rPr>
        <w:t xml:space="preserve">Voorheen waren deze bepalingen inderdaad kriskras opgenomen doorheen het hele </w:t>
      </w:r>
      <w:r w:rsidRPr="00972BEC">
        <w:rPr>
          <w:lang w:val="nl-BE"/>
        </w:rPr>
        <w:t>Strafwetboek</w:t>
      </w:r>
      <w:r w:rsidR="00F1799A" w:rsidRPr="00972BEC">
        <w:rPr>
          <w:lang w:val="nl-BE"/>
        </w:rPr>
        <w:t>.</w:t>
      </w:r>
      <w:r w:rsidRPr="00972BEC">
        <w:rPr>
          <w:lang w:val="nl-BE"/>
        </w:rPr>
        <w:t xml:space="preserve"> </w:t>
      </w:r>
      <w:r w:rsidR="00F1799A" w:rsidRPr="00972BEC">
        <w:rPr>
          <w:lang w:val="nl-BE"/>
        </w:rPr>
        <w:t xml:space="preserve">Zo bevond </w:t>
      </w:r>
      <w:r w:rsidRPr="00972BEC">
        <w:rPr>
          <w:lang w:val="nl-BE"/>
        </w:rPr>
        <w:t xml:space="preserve">het </w:t>
      </w:r>
      <w:r w:rsidR="00172E85" w:rsidRPr="00972BEC">
        <w:rPr>
          <w:lang w:val="nl-BE"/>
        </w:rPr>
        <w:t>benaderen</w:t>
      </w:r>
      <w:r w:rsidRPr="00972BEC">
        <w:rPr>
          <w:lang w:val="nl-BE"/>
        </w:rPr>
        <w:t xml:space="preserve"> van kinderen vanuit seksueel oogmerk of </w:t>
      </w:r>
      <w:r w:rsidRPr="00972BEC">
        <w:rPr>
          <w:i/>
          <w:iCs/>
          <w:lang w:val="nl-BE"/>
        </w:rPr>
        <w:t>grooming</w:t>
      </w:r>
      <w:r w:rsidRPr="00972BEC">
        <w:rPr>
          <w:lang w:val="nl-BE"/>
        </w:rPr>
        <w:t xml:space="preserve"> zich bijvoorbeeld in het hoofdstuk ‘Voyeurisme, aanranding van de eerbaarheid en verkrachting</w:t>
      </w:r>
      <w:r w:rsidR="003C388E" w:rsidRPr="00972BEC">
        <w:rPr>
          <w:lang w:val="nl-BE"/>
        </w:rPr>
        <w:t>’</w:t>
      </w:r>
      <w:r w:rsidRPr="00972BEC">
        <w:rPr>
          <w:lang w:val="nl-BE"/>
        </w:rPr>
        <w:t xml:space="preserve"> (artikel 377quater van het Strafwetboek), terwijl het hoofdstuk ‘Bederf van de jeugd en prostitutie’ </w:t>
      </w:r>
      <w:r w:rsidR="00F1799A" w:rsidRPr="00972BEC">
        <w:rPr>
          <w:lang w:val="nl-BE"/>
        </w:rPr>
        <w:t xml:space="preserve">ook </w:t>
      </w:r>
      <w:r w:rsidRPr="00972BEC">
        <w:rPr>
          <w:lang w:val="nl-BE"/>
        </w:rPr>
        <w:t>een aan</w:t>
      </w:r>
      <w:r w:rsidRPr="0069784D">
        <w:rPr>
          <w:lang w:val="nl-BE"/>
        </w:rPr>
        <w:t xml:space="preserve">tal bepalingen inzake minderjarigen bevatte (artikel 379 e.v.). De strafbepalingen betreffende kinderprostitutie waren dan weer terug te vinden in de andere bepalingen inzake prostitutie. Tot slot bevonden de strafbepalingen inzake kinderpornografie zich in het hoofdstuk ‘Openbare schennis van de goede zeden’. </w:t>
      </w:r>
    </w:p>
    <w:p w14:paraId="15364378" w14:textId="5D20EA82" w:rsidR="009B112A" w:rsidRPr="0069784D" w:rsidRDefault="009C3FDE" w:rsidP="009C15CF">
      <w:pPr>
        <w:jc w:val="both"/>
        <w:rPr>
          <w:lang w:val="nl-BE"/>
        </w:rPr>
      </w:pPr>
      <w:r w:rsidRPr="0069784D">
        <w:rPr>
          <w:lang w:val="nl-BE"/>
        </w:rPr>
        <w:t>Zoals in de memorie van toelichting aangegeven wordt, heeft deze afdeling betrekking op volgende misdrijven</w:t>
      </w:r>
      <w:r w:rsidR="009B112A" w:rsidRPr="0069784D">
        <w:rPr>
          <w:lang w:val="nl-BE"/>
        </w:rPr>
        <w:t>:</w:t>
      </w:r>
    </w:p>
    <w:p w14:paraId="5DC70339" w14:textId="0F78707F" w:rsidR="009B112A" w:rsidRPr="0069784D" w:rsidRDefault="009C3FDE" w:rsidP="009C15CF">
      <w:pPr>
        <w:pStyle w:val="ListParagraph"/>
        <w:numPr>
          <w:ilvl w:val="0"/>
          <w:numId w:val="9"/>
        </w:numPr>
        <w:jc w:val="both"/>
        <w:rPr>
          <w:lang w:val="nl-BE"/>
        </w:rPr>
      </w:pPr>
      <w:r w:rsidRPr="0069784D">
        <w:rPr>
          <w:lang w:val="nl-BE"/>
        </w:rPr>
        <w:t xml:space="preserve">benaderen van minderjarigen </w:t>
      </w:r>
      <w:r w:rsidR="00725904" w:rsidRPr="0069784D">
        <w:rPr>
          <w:lang w:val="nl-BE"/>
        </w:rPr>
        <w:t>voor</w:t>
      </w:r>
      <w:r w:rsidRPr="0069784D">
        <w:rPr>
          <w:lang w:val="nl-BE"/>
        </w:rPr>
        <w:t xml:space="preserve"> seksuele doeleinden</w:t>
      </w:r>
      <w:r w:rsidR="000756F7" w:rsidRPr="0069784D">
        <w:rPr>
          <w:lang w:val="nl-BE"/>
        </w:rPr>
        <w:t>;</w:t>
      </w:r>
    </w:p>
    <w:p w14:paraId="36D37720" w14:textId="318E2A88" w:rsidR="009B112A" w:rsidRPr="0069784D" w:rsidRDefault="009C3FDE" w:rsidP="009C15CF">
      <w:pPr>
        <w:pStyle w:val="ListParagraph"/>
        <w:numPr>
          <w:ilvl w:val="0"/>
          <w:numId w:val="9"/>
        </w:numPr>
        <w:jc w:val="both"/>
        <w:rPr>
          <w:lang w:val="nl-BE"/>
        </w:rPr>
      </w:pPr>
      <w:r w:rsidRPr="0069784D">
        <w:rPr>
          <w:lang w:val="nl-BE"/>
        </w:rPr>
        <w:t>ontucht van minder</w:t>
      </w:r>
      <w:r w:rsidR="000756F7" w:rsidRPr="0069784D">
        <w:rPr>
          <w:lang w:val="nl-BE"/>
        </w:rPr>
        <w:t>j</w:t>
      </w:r>
      <w:r w:rsidRPr="0069784D">
        <w:rPr>
          <w:lang w:val="nl-BE"/>
        </w:rPr>
        <w:t>arigen en kinderprostitutie</w:t>
      </w:r>
      <w:r w:rsidR="000756F7" w:rsidRPr="0069784D">
        <w:rPr>
          <w:lang w:val="nl-BE"/>
        </w:rPr>
        <w:t>;</w:t>
      </w:r>
    </w:p>
    <w:p w14:paraId="698DE329" w14:textId="5FAB767F" w:rsidR="009B112A" w:rsidRPr="0069784D" w:rsidRDefault="000756F7" w:rsidP="009C15CF">
      <w:pPr>
        <w:pStyle w:val="ListParagraph"/>
        <w:numPr>
          <w:ilvl w:val="0"/>
          <w:numId w:val="9"/>
        </w:numPr>
        <w:jc w:val="both"/>
        <w:rPr>
          <w:lang w:val="nl-BE"/>
        </w:rPr>
      </w:pPr>
      <w:r w:rsidRPr="0069784D">
        <w:rPr>
          <w:lang w:val="nl-BE"/>
        </w:rPr>
        <w:t>beelden van seksueel misbruik van minderjarigen (momenteel ‘kinderpornografie’</w:t>
      </w:r>
      <w:r w:rsidR="00E77519" w:rsidRPr="0069784D">
        <w:rPr>
          <w:lang w:val="nl-BE"/>
        </w:rPr>
        <w:t xml:space="preserve"> genoemd</w:t>
      </w:r>
      <w:r w:rsidRPr="0069784D">
        <w:rPr>
          <w:lang w:val="nl-BE"/>
        </w:rPr>
        <w:t>)</w:t>
      </w:r>
      <w:r w:rsidR="009B112A" w:rsidRPr="0069784D">
        <w:rPr>
          <w:lang w:val="nl-BE"/>
        </w:rPr>
        <w:t>.</w:t>
      </w:r>
    </w:p>
    <w:p w14:paraId="03508240" w14:textId="17A5EB90" w:rsidR="009B112A" w:rsidRPr="00972BEC" w:rsidRDefault="000756F7" w:rsidP="009C15CF">
      <w:pPr>
        <w:jc w:val="both"/>
        <w:rPr>
          <w:lang w:val="nl-BE"/>
        </w:rPr>
      </w:pPr>
      <w:r w:rsidRPr="0069784D">
        <w:rPr>
          <w:lang w:val="nl-BE"/>
        </w:rPr>
        <w:t xml:space="preserve">In deze nieuwe afdeling worden alle seksuele misdrijven samengebracht waarvan het minderjarige slachtoffer </w:t>
      </w:r>
      <w:r w:rsidRPr="0069784D">
        <w:rPr>
          <w:b/>
          <w:bCs/>
          <w:lang w:val="nl-BE"/>
        </w:rPr>
        <w:t>een constitutief element</w:t>
      </w:r>
      <w:r w:rsidRPr="0069784D">
        <w:rPr>
          <w:lang w:val="nl-BE"/>
        </w:rPr>
        <w:t xml:space="preserve"> is</w:t>
      </w:r>
      <w:r w:rsidR="00172E85" w:rsidRPr="0069784D">
        <w:rPr>
          <w:lang w:val="nl-BE"/>
        </w:rPr>
        <w:t xml:space="preserve">. Deze afdeling </w:t>
      </w:r>
      <w:r w:rsidR="00172E85" w:rsidRPr="00972BEC">
        <w:rPr>
          <w:lang w:val="nl-BE"/>
        </w:rPr>
        <w:t xml:space="preserve">dient </w:t>
      </w:r>
      <w:r w:rsidR="00F1799A" w:rsidRPr="00972BEC">
        <w:rPr>
          <w:lang w:val="nl-BE"/>
        </w:rPr>
        <w:t xml:space="preserve">dan ook </w:t>
      </w:r>
      <w:r w:rsidRPr="00972BEC">
        <w:rPr>
          <w:lang w:val="nl-BE"/>
        </w:rPr>
        <w:t xml:space="preserve">onderscheiden te worden van het vorige hoofdstuk, dat betrekking heeft op </w:t>
      </w:r>
      <w:r w:rsidR="00F1799A" w:rsidRPr="00972BEC">
        <w:rPr>
          <w:lang w:val="nl-BE"/>
        </w:rPr>
        <w:t xml:space="preserve">de </w:t>
      </w:r>
      <w:r w:rsidRPr="00972BEC">
        <w:rPr>
          <w:lang w:val="nl-BE"/>
        </w:rPr>
        <w:t xml:space="preserve">aantasting van de seksuele integriteit, waarbij de </w:t>
      </w:r>
      <w:r w:rsidRPr="00972BEC">
        <w:rPr>
          <w:lang w:val="nl-BE"/>
        </w:rPr>
        <w:lastRenderedPageBreak/>
        <w:t xml:space="preserve">minderjarigheid als verzwarende omstandigheid of verzwarende factor </w:t>
      </w:r>
      <w:r w:rsidR="00F1799A" w:rsidRPr="00972BEC">
        <w:rPr>
          <w:lang w:val="nl-BE"/>
        </w:rPr>
        <w:t xml:space="preserve">in aanmerking </w:t>
      </w:r>
      <w:r w:rsidRPr="00972BEC">
        <w:rPr>
          <w:lang w:val="nl-BE"/>
        </w:rPr>
        <w:t xml:space="preserve">genomen wordt. </w:t>
      </w:r>
    </w:p>
    <w:p w14:paraId="0D66B3C6" w14:textId="024DC43E" w:rsidR="00725904" w:rsidRPr="00972BEC" w:rsidRDefault="00725904" w:rsidP="009C15CF">
      <w:pPr>
        <w:jc w:val="both"/>
        <w:rPr>
          <w:lang w:val="nl-BE"/>
        </w:rPr>
      </w:pPr>
      <w:r w:rsidRPr="00972BEC">
        <w:rPr>
          <w:lang w:val="nl-BE"/>
        </w:rPr>
        <w:t>Deze afdeling bestaat uit twee onderafdelingen.</w:t>
      </w:r>
    </w:p>
    <w:p w14:paraId="2CF95F39" w14:textId="10E73DCB" w:rsidR="00725904" w:rsidRPr="0069784D" w:rsidRDefault="00725904" w:rsidP="009C15CF">
      <w:pPr>
        <w:jc w:val="both"/>
        <w:rPr>
          <w:lang w:val="nl-BE"/>
        </w:rPr>
      </w:pPr>
      <w:r w:rsidRPr="00972BEC">
        <w:rPr>
          <w:lang w:val="nl-BE"/>
        </w:rPr>
        <w:t xml:space="preserve">Aangezien het gaat om constitutieve elementen, is het van belang de gevolgen voor de bewijsgaring te benadrukken </w:t>
      </w:r>
      <w:r w:rsidR="00172E85" w:rsidRPr="00972BEC">
        <w:rPr>
          <w:lang w:val="nl-BE"/>
        </w:rPr>
        <w:t>omdat</w:t>
      </w:r>
      <w:r w:rsidRPr="00972BEC">
        <w:rPr>
          <w:lang w:val="nl-BE"/>
        </w:rPr>
        <w:t xml:space="preserve"> één enkele rechtvaardigheidsgrond ertoe kan leiden dat de </w:t>
      </w:r>
      <w:r w:rsidRPr="0069784D">
        <w:rPr>
          <w:lang w:val="nl-BE"/>
        </w:rPr>
        <w:t xml:space="preserve">vervolgde persoon vrijgesproken wordt. </w:t>
      </w:r>
    </w:p>
    <w:p w14:paraId="75C6E5E5" w14:textId="726EBF3B" w:rsidR="00725904" w:rsidRPr="0069784D" w:rsidRDefault="00461B8E" w:rsidP="009C15CF">
      <w:pPr>
        <w:jc w:val="both"/>
        <w:rPr>
          <w:lang w:val="nl-BE"/>
        </w:rPr>
      </w:pPr>
      <w:r w:rsidRPr="0069784D">
        <w:rPr>
          <w:lang w:val="nl-BE"/>
        </w:rPr>
        <w:t>“</w:t>
      </w:r>
      <w:r w:rsidR="00725904" w:rsidRPr="00972BEC">
        <w:rPr>
          <w:lang w:val="nl-BE"/>
        </w:rPr>
        <w:t xml:space="preserve">Het </w:t>
      </w:r>
      <w:r w:rsidRPr="00972BEC">
        <w:rPr>
          <w:lang w:val="nl-BE"/>
        </w:rPr>
        <w:t>i</w:t>
      </w:r>
      <w:r w:rsidR="00725904" w:rsidRPr="00972BEC">
        <w:rPr>
          <w:lang w:val="nl-BE"/>
        </w:rPr>
        <w:t xml:space="preserve">s het </w:t>
      </w:r>
      <w:r w:rsidR="00F1799A" w:rsidRPr="00972BEC">
        <w:rPr>
          <w:lang w:val="nl-BE"/>
        </w:rPr>
        <w:t>o</w:t>
      </w:r>
      <w:r w:rsidR="00725904" w:rsidRPr="00972BEC">
        <w:rPr>
          <w:lang w:val="nl-BE"/>
        </w:rPr>
        <w:t xml:space="preserve">penbaar </w:t>
      </w:r>
      <w:r w:rsidR="00F1799A" w:rsidRPr="00972BEC">
        <w:rPr>
          <w:lang w:val="nl-BE"/>
        </w:rPr>
        <w:t>m</w:t>
      </w:r>
      <w:r w:rsidR="00725904" w:rsidRPr="00972BEC">
        <w:rPr>
          <w:lang w:val="nl-BE"/>
        </w:rPr>
        <w:t xml:space="preserve">inisterie </w:t>
      </w:r>
      <w:r w:rsidRPr="00972BEC">
        <w:rPr>
          <w:lang w:val="nl-BE"/>
        </w:rPr>
        <w:t xml:space="preserve">dat de leeftijd van de minderjarige moet vaststellen op basis van een geboorteakte, aanwijzingen of vermoedens </w:t>
      </w:r>
      <w:r w:rsidRPr="0069784D">
        <w:rPr>
          <w:lang w:val="nl-BE"/>
        </w:rPr>
        <w:t>die ter beoordeling aan de rechter ten gronde voorgelegd worden of een medisch deskundigenonderzoek</w:t>
      </w:r>
      <w:r w:rsidR="00172E85" w:rsidRPr="0069784D">
        <w:rPr>
          <w:lang w:val="nl-BE"/>
        </w:rPr>
        <w:t>.</w:t>
      </w:r>
      <w:r w:rsidRPr="0069784D">
        <w:rPr>
          <w:lang w:val="nl-BE"/>
        </w:rPr>
        <w:t>”</w:t>
      </w:r>
      <w:r w:rsidR="00725904" w:rsidRPr="0069784D">
        <w:rPr>
          <w:lang w:val="nl-BE"/>
        </w:rPr>
        <w:t xml:space="preserve"> (</w:t>
      </w:r>
      <w:r w:rsidRPr="0069784D">
        <w:rPr>
          <w:lang w:val="nl-BE"/>
        </w:rPr>
        <w:t>C</w:t>
      </w:r>
      <w:r w:rsidR="00725904" w:rsidRPr="0069784D">
        <w:rPr>
          <w:lang w:val="nl-BE"/>
        </w:rPr>
        <w:t>ass. 14 oktober 1935, Pas. 1935, I, p. 365</w:t>
      </w:r>
      <w:r w:rsidRPr="0069784D">
        <w:rPr>
          <w:lang w:val="nl-BE"/>
        </w:rPr>
        <w:t xml:space="preserve"> – </w:t>
      </w:r>
      <w:r w:rsidRPr="0069784D">
        <w:rPr>
          <w:i/>
          <w:iCs/>
          <w:lang w:val="nl-BE"/>
        </w:rPr>
        <w:t>vert.</w:t>
      </w:r>
      <w:r w:rsidR="00725904" w:rsidRPr="0069784D">
        <w:rPr>
          <w:lang w:val="nl-BE"/>
        </w:rPr>
        <w:t>)</w:t>
      </w:r>
      <w:r w:rsidRPr="0069784D">
        <w:rPr>
          <w:lang w:val="nl-BE"/>
        </w:rPr>
        <w:t>.</w:t>
      </w:r>
    </w:p>
    <w:p w14:paraId="7C6E427B" w14:textId="1B852077" w:rsidR="00725904" w:rsidRPr="0069784D" w:rsidRDefault="00461B8E" w:rsidP="009C15CF">
      <w:pPr>
        <w:jc w:val="both"/>
        <w:rPr>
          <w:lang w:val="nl-BE"/>
        </w:rPr>
      </w:pPr>
      <w:r w:rsidRPr="0069784D">
        <w:rPr>
          <w:lang w:val="nl-BE"/>
        </w:rPr>
        <w:t xml:space="preserve">Aangezien elke verwijzing naar het onderscheid tussen een dader die handelde terwijl hij op de hoogte </w:t>
      </w:r>
      <w:r w:rsidR="00F1799A" w:rsidRPr="00972BEC">
        <w:rPr>
          <w:lang w:val="nl-BE"/>
        </w:rPr>
        <w:t xml:space="preserve">was </w:t>
      </w:r>
      <w:r w:rsidRPr="00972BEC">
        <w:rPr>
          <w:lang w:val="nl-BE"/>
        </w:rPr>
        <w:t xml:space="preserve">van de leeftijd van het slachtoffer en een dader die dit omwille van een nalatigheid niet wist, </w:t>
      </w:r>
      <w:r w:rsidR="00F1799A" w:rsidRPr="00972BEC">
        <w:rPr>
          <w:lang w:val="nl-BE"/>
        </w:rPr>
        <w:t xml:space="preserve">weggelaten werd, </w:t>
      </w:r>
      <w:r w:rsidRPr="00972BEC">
        <w:rPr>
          <w:lang w:val="nl-BE"/>
        </w:rPr>
        <w:t>volstaat het om vast te stellen dat het slachtoffer minderjarig was op het moment van de feiten om het misdrijf als bewezen te verklaren, zij het met uitzondering van de situatie waarin de dader met voldoende geloofwaardigheid een rechtvaardigingsgrond inroept, bijvoorbeeld een onoverkomelijke</w:t>
      </w:r>
      <w:r w:rsidR="00FD2340" w:rsidRPr="00972BEC">
        <w:rPr>
          <w:lang w:val="nl-BE"/>
        </w:rPr>
        <w:t xml:space="preserve"> dwaling</w:t>
      </w:r>
      <w:r w:rsidR="00972BEC" w:rsidRPr="00972BEC">
        <w:rPr>
          <w:lang w:val="nl-BE"/>
        </w:rPr>
        <w:t>.</w:t>
      </w:r>
    </w:p>
    <w:p w14:paraId="4A1FDD3A" w14:textId="3DD1D955" w:rsidR="009B112A" w:rsidRPr="0069784D" w:rsidRDefault="000756F7" w:rsidP="009C15CF">
      <w:pPr>
        <w:jc w:val="both"/>
        <w:rPr>
          <w:b/>
          <w:lang w:val="nl-BE"/>
        </w:rPr>
      </w:pPr>
      <w:r w:rsidRPr="0069784D">
        <w:rPr>
          <w:b/>
          <w:lang w:val="nl-BE"/>
        </w:rPr>
        <w:t>Overeenkomstig artikel 417</w:t>
      </w:r>
      <w:r w:rsidR="009B112A" w:rsidRPr="0069784D">
        <w:rPr>
          <w:b/>
          <w:lang w:val="nl-BE"/>
        </w:rPr>
        <w:t xml:space="preserve">/6 § 3-3° </w:t>
      </w:r>
      <w:r w:rsidRPr="0069784D">
        <w:rPr>
          <w:b/>
          <w:lang w:val="nl-BE"/>
        </w:rPr>
        <w:t>van de nieuwe</w:t>
      </w:r>
      <w:r w:rsidRPr="00972BEC">
        <w:rPr>
          <w:b/>
          <w:lang w:val="nl-BE"/>
        </w:rPr>
        <w:t xml:space="preserve"> wet wordt een minderjarige geacht</w:t>
      </w:r>
      <w:r w:rsidR="00172E85" w:rsidRPr="00972BEC">
        <w:rPr>
          <w:b/>
          <w:lang w:val="nl-BE"/>
        </w:rPr>
        <w:t xml:space="preserve"> </w:t>
      </w:r>
      <w:r w:rsidR="00FD2340" w:rsidRPr="00972BEC">
        <w:rPr>
          <w:b/>
          <w:lang w:val="nl-BE"/>
        </w:rPr>
        <w:t xml:space="preserve">nooit </w:t>
      </w:r>
      <w:r w:rsidR="00172E85" w:rsidRPr="00972BEC">
        <w:rPr>
          <w:b/>
          <w:lang w:val="nl-BE"/>
        </w:rPr>
        <w:t>vrijwillig</w:t>
      </w:r>
      <w:r w:rsidRPr="00972BEC">
        <w:rPr>
          <w:b/>
          <w:lang w:val="nl-BE"/>
        </w:rPr>
        <w:t xml:space="preserve"> zijn toestemming </w:t>
      </w:r>
      <w:r w:rsidR="00FD2340" w:rsidRPr="00972BEC">
        <w:rPr>
          <w:b/>
          <w:lang w:val="nl-BE"/>
        </w:rPr>
        <w:t xml:space="preserve">te hebben </w:t>
      </w:r>
      <w:r w:rsidRPr="00972BEC">
        <w:rPr>
          <w:b/>
          <w:lang w:val="nl-BE"/>
        </w:rPr>
        <w:t xml:space="preserve">gegeven met handelingen </w:t>
      </w:r>
      <w:r w:rsidRPr="0069784D">
        <w:rPr>
          <w:b/>
          <w:lang w:val="nl-BE"/>
        </w:rPr>
        <w:t xml:space="preserve">inzake ontucht en prostitutie. </w:t>
      </w:r>
    </w:p>
    <w:p w14:paraId="4376D123" w14:textId="6DEA2B40" w:rsidR="009B112A" w:rsidRPr="0069784D" w:rsidRDefault="009B112A" w:rsidP="009C15CF">
      <w:pPr>
        <w:jc w:val="both"/>
        <w:rPr>
          <w:lang w:val="nl-BE"/>
        </w:rPr>
      </w:pPr>
    </w:p>
    <w:p w14:paraId="403DA5DC" w14:textId="2D179802" w:rsidR="009B112A" w:rsidRPr="0069784D" w:rsidRDefault="000756F7" w:rsidP="009C15CF">
      <w:pPr>
        <w:jc w:val="both"/>
        <w:rPr>
          <w:bCs/>
          <w:sz w:val="32"/>
          <w:szCs w:val="32"/>
          <w:lang w:val="nl-BE"/>
        </w:rPr>
      </w:pPr>
      <w:r w:rsidRPr="0069784D">
        <w:rPr>
          <w:bCs/>
          <w:sz w:val="32"/>
          <w:szCs w:val="32"/>
          <w:lang w:val="nl-BE"/>
        </w:rPr>
        <w:t xml:space="preserve">Onderafdeling 1: Benaderen van een minderjarige </w:t>
      </w:r>
      <w:r w:rsidR="00725904" w:rsidRPr="0069784D">
        <w:rPr>
          <w:bCs/>
          <w:sz w:val="32"/>
          <w:szCs w:val="32"/>
          <w:lang w:val="nl-BE"/>
        </w:rPr>
        <w:t>voor</w:t>
      </w:r>
      <w:r w:rsidRPr="0069784D">
        <w:rPr>
          <w:bCs/>
          <w:sz w:val="32"/>
          <w:szCs w:val="32"/>
          <w:lang w:val="nl-BE"/>
        </w:rPr>
        <w:t xml:space="preserve"> seksuele doeleinden</w:t>
      </w:r>
    </w:p>
    <w:p w14:paraId="203648C0" w14:textId="77777777" w:rsidR="00D34618" w:rsidRPr="0069784D" w:rsidRDefault="00D34618" w:rsidP="009C15CF">
      <w:pPr>
        <w:jc w:val="both"/>
        <w:rPr>
          <w:lang w:val="nl-BE"/>
        </w:rPr>
      </w:pPr>
    </w:p>
    <w:p w14:paraId="0D3E85B7" w14:textId="51E02D4A" w:rsidR="000B0421" w:rsidRPr="0069784D" w:rsidRDefault="00725904" w:rsidP="009C15CF">
      <w:pPr>
        <w:jc w:val="both"/>
        <w:rPr>
          <w:lang w:val="nl-BE"/>
        </w:rPr>
      </w:pPr>
      <w:r w:rsidRPr="0069784D">
        <w:rPr>
          <w:lang w:val="nl-BE"/>
        </w:rPr>
        <w:t>Deze eerste onderafdeling bestaat uit slechts één artikel.</w:t>
      </w:r>
    </w:p>
    <w:p w14:paraId="37A25AA0" w14:textId="77777777" w:rsidR="008A6778" w:rsidRPr="0069784D" w:rsidRDefault="008A6778" w:rsidP="009C15CF">
      <w:pPr>
        <w:jc w:val="both"/>
        <w:rPr>
          <w:b/>
          <w:bCs/>
          <w:lang w:val="nl-BE"/>
        </w:rPr>
      </w:pPr>
    </w:p>
    <w:p w14:paraId="6A7B8EF4" w14:textId="24A9B976" w:rsidR="008A6778" w:rsidRPr="0069784D" w:rsidRDefault="00461B8E" w:rsidP="009C15CF">
      <w:pPr>
        <w:pStyle w:val="Heading3"/>
        <w:jc w:val="both"/>
        <w:rPr>
          <w:rFonts w:asciiTheme="minorHAnsi" w:hAnsiTheme="minorHAnsi" w:cstheme="minorHAnsi"/>
          <w:color w:val="auto"/>
          <w:sz w:val="28"/>
          <w:szCs w:val="28"/>
          <w:lang w:val="nl-BE"/>
        </w:rPr>
      </w:pPr>
      <w:bookmarkStart w:id="3" w:name="_Toc104134027"/>
      <w:r w:rsidRPr="0069784D">
        <w:rPr>
          <w:rFonts w:asciiTheme="minorHAnsi" w:hAnsiTheme="minorHAnsi" w:cstheme="minorHAnsi"/>
          <w:color w:val="auto"/>
          <w:sz w:val="28"/>
          <w:szCs w:val="28"/>
          <w:lang w:val="nl-BE"/>
        </w:rPr>
        <w:t xml:space="preserve">Artikel </w:t>
      </w:r>
      <w:r w:rsidR="008A6778" w:rsidRPr="0069784D">
        <w:rPr>
          <w:rFonts w:asciiTheme="minorHAnsi" w:hAnsiTheme="minorHAnsi" w:cstheme="minorHAnsi"/>
          <w:color w:val="auto"/>
          <w:sz w:val="28"/>
          <w:szCs w:val="28"/>
          <w:lang w:val="nl-BE"/>
        </w:rPr>
        <w:t>417/24</w:t>
      </w:r>
      <w:r w:rsidR="00172E85" w:rsidRPr="0069784D">
        <w:rPr>
          <w:rFonts w:asciiTheme="minorHAnsi" w:hAnsiTheme="minorHAnsi" w:cstheme="minorHAnsi"/>
          <w:color w:val="auto"/>
          <w:sz w:val="28"/>
          <w:szCs w:val="28"/>
          <w:lang w:val="nl-BE"/>
        </w:rPr>
        <w:t xml:space="preserve"> -</w:t>
      </w:r>
      <w:r w:rsidR="008A6778" w:rsidRPr="0069784D">
        <w:rPr>
          <w:rFonts w:asciiTheme="minorHAnsi" w:hAnsiTheme="minorHAnsi" w:cstheme="minorHAnsi"/>
          <w:color w:val="auto"/>
          <w:sz w:val="28"/>
          <w:szCs w:val="28"/>
          <w:lang w:val="nl-BE"/>
        </w:rPr>
        <w:t xml:space="preserve"> </w:t>
      </w:r>
      <w:bookmarkEnd w:id="3"/>
      <w:r w:rsidRPr="0069784D">
        <w:rPr>
          <w:rFonts w:asciiTheme="minorHAnsi" w:hAnsiTheme="minorHAnsi" w:cstheme="minorHAnsi"/>
          <w:color w:val="000000"/>
          <w:sz w:val="28"/>
          <w:szCs w:val="28"/>
          <w:lang w:val="nl-BE"/>
        </w:rPr>
        <w:t>Benaderen van een minderjarige voor seksuele doeleinden</w:t>
      </w:r>
    </w:p>
    <w:p w14:paraId="7E3C6028" w14:textId="77777777" w:rsidR="0001590A" w:rsidRPr="0069784D" w:rsidRDefault="0001590A" w:rsidP="009C15CF">
      <w:pPr>
        <w:jc w:val="both"/>
        <w:rPr>
          <w:i/>
          <w:iCs/>
          <w:color w:val="000000"/>
          <w:lang w:val="nl-BE"/>
        </w:rPr>
      </w:pPr>
    </w:p>
    <w:p w14:paraId="6A0BDB2D" w14:textId="28812A31" w:rsidR="00461B8E" w:rsidRPr="0069784D" w:rsidRDefault="00461B8E" w:rsidP="009C15CF">
      <w:pPr>
        <w:jc w:val="both"/>
        <w:rPr>
          <w:i/>
          <w:iCs/>
          <w:color w:val="000000"/>
          <w:lang w:val="nl-BE"/>
        </w:rPr>
      </w:pPr>
      <w:r w:rsidRPr="0069784D">
        <w:rPr>
          <w:i/>
          <w:iCs/>
          <w:color w:val="000000"/>
          <w:lang w:val="nl-BE"/>
        </w:rPr>
        <w:t>“Benaderen van een minderjarige voor seksuele doeleinden is het aan een minderjarige een voorstel tot ontmoeting doen, op welke manier dan ook, met het oogmerk om een misdrijf te plegen bedoeld in dit hoofdstuk, voor zover dit voorstel is gevolgd door materiële handelingen die tot een dergelijke ontmoeting kunnen leiden.</w:t>
      </w:r>
    </w:p>
    <w:p w14:paraId="1A02B9B1" w14:textId="2674CDE7" w:rsidR="000B0421" w:rsidRPr="0069784D" w:rsidRDefault="00461B8E" w:rsidP="009C15CF">
      <w:pPr>
        <w:jc w:val="both"/>
        <w:rPr>
          <w:i/>
          <w:iCs/>
          <w:lang w:val="nl-BE"/>
        </w:rPr>
      </w:pPr>
      <w:r w:rsidRPr="0069784D">
        <w:rPr>
          <w:i/>
          <w:iCs/>
          <w:color w:val="000000"/>
          <w:lang w:val="nl-BE"/>
        </w:rPr>
        <w:t>Dit misdrijf wordt bestraft met gevangenisstraf van drie jaar tot vijf jaar.”</w:t>
      </w:r>
    </w:p>
    <w:p w14:paraId="759A69C1" w14:textId="5D3B4241" w:rsidR="000B0421" w:rsidRPr="0069784D" w:rsidRDefault="00FD2340" w:rsidP="009C15CF">
      <w:pPr>
        <w:jc w:val="both"/>
        <w:rPr>
          <w:lang w:val="nl-BE"/>
        </w:rPr>
      </w:pPr>
      <w:r w:rsidRPr="00972BEC">
        <w:rPr>
          <w:lang w:val="nl-BE"/>
        </w:rPr>
        <w:t xml:space="preserve">Dergelijke handelingen werden voorheen geviseerd door </w:t>
      </w:r>
      <w:r w:rsidR="00461B8E" w:rsidRPr="00972BEC">
        <w:rPr>
          <w:lang w:val="nl-BE"/>
        </w:rPr>
        <w:t xml:space="preserve">het </w:t>
      </w:r>
      <w:r w:rsidR="00461B8E" w:rsidRPr="00972BEC">
        <w:rPr>
          <w:b/>
          <w:bCs/>
          <w:lang w:val="nl-BE"/>
        </w:rPr>
        <w:t xml:space="preserve">vroegere </w:t>
      </w:r>
      <w:r w:rsidR="00461B8E" w:rsidRPr="0069784D">
        <w:rPr>
          <w:b/>
          <w:bCs/>
          <w:lang w:val="nl-BE"/>
        </w:rPr>
        <w:t>artikel 377quater</w:t>
      </w:r>
      <w:r w:rsidR="00461B8E" w:rsidRPr="0069784D">
        <w:rPr>
          <w:lang w:val="nl-BE"/>
        </w:rPr>
        <w:t xml:space="preserve"> van het Strafwetboek:</w:t>
      </w:r>
    </w:p>
    <w:p w14:paraId="5DD317E9" w14:textId="77777777" w:rsidR="00461B8E" w:rsidRPr="0069784D" w:rsidRDefault="00461B8E" w:rsidP="009C15CF">
      <w:pPr>
        <w:jc w:val="both"/>
        <w:rPr>
          <w:rFonts w:cstheme="minorHAnsi"/>
          <w:i/>
          <w:iCs/>
          <w:color w:val="000000"/>
          <w:lang w:val="nl-BE"/>
        </w:rPr>
      </w:pPr>
      <w:r w:rsidRPr="0069784D">
        <w:rPr>
          <w:rFonts w:cstheme="minorHAnsi"/>
          <w:i/>
          <w:iCs/>
          <w:color w:val="000000"/>
          <w:lang w:val="nl-BE"/>
        </w:rPr>
        <w:t xml:space="preserve">“De meerderjarige die door middel van de informatie- en communicatietechnologie aan een minderjarige beneden de volle leeftijd van zestien jaar een voorstel doet tot ontmoeting met het oogmerk een misdrijf te plegen bepaald in dit hoofdstuk of in de hoofdstukken VI en VII van deze Titel, </w:t>
      </w:r>
      <w:r w:rsidRPr="0069784D">
        <w:rPr>
          <w:rFonts w:cstheme="minorHAnsi"/>
          <w:i/>
          <w:iCs/>
          <w:color w:val="000000"/>
          <w:lang w:val="nl-BE"/>
        </w:rPr>
        <w:lastRenderedPageBreak/>
        <w:t>wordt, voor zover dit voorstel is gevolgd door materiële handelingen die tot een dergelijke ontmoeting leiden, gestraft met een gevangenisstraf van één jaar tot vijf jaar.”</w:t>
      </w:r>
    </w:p>
    <w:p w14:paraId="5CE9BB85" w14:textId="4DF84447" w:rsidR="000B0421" w:rsidRPr="0069784D" w:rsidRDefault="00FB4EA1" w:rsidP="009C15CF">
      <w:pPr>
        <w:jc w:val="both"/>
        <w:rPr>
          <w:lang w:val="nl-BE"/>
        </w:rPr>
      </w:pPr>
      <w:r w:rsidRPr="0069784D">
        <w:rPr>
          <w:lang w:val="nl-BE"/>
        </w:rPr>
        <w:t xml:space="preserve">Er is bijgevolg sprake van een verruiming van het hoofdmisdrijf in de nieuwe tekst, aangezien het vroegere artikel 377quater enkel van toepassing was op het formuleren van voorstellen </w:t>
      </w:r>
      <w:r w:rsidR="00172E85" w:rsidRPr="0069784D">
        <w:rPr>
          <w:lang w:val="nl-BE"/>
        </w:rPr>
        <w:t>a</w:t>
      </w:r>
      <w:r w:rsidRPr="0069784D">
        <w:rPr>
          <w:lang w:val="nl-BE"/>
        </w:rPr>
        <w:t xml:space="preserve">an minderjarigen door </w:t>
      </w:r>
      <w:r w:rsidRPr="00972BEC">
        <w:rPr>
          <w:lang w:val="nl-BE"/>
        </w:rPr>
        <w:t>middel van de informatie- en communicatietechnologie. Voortaan word</w:t>
      </w:r>
      <w:r w:rsidR="00FD2340" w:rsidRPr="00972BEC">
        <w:rPr>
          <w:lang w:val="nl-BE"/>
        </w:rPr>
        <w:t>en</w:t>
      </w:r>
      <w:r w:rsidRPr="00972BEC">
        <w:rPr>
          <w:lang w:val="nl-BE"/>
        </w:rPr>
        <w:t xml:space="preserve"> de bewoording</w:t>
      </w:r>
      <w:r w:rsidR="00FD2340" w:rsidRPr="00972BEC">
        <w:rPr>
          <w:lang w:val="nl-BE"/>
        </w:rPr>
        <w:t>en</w:t>
      </w:r>
      <w:r w:rsidRPr="00972BEC">
        <w:rPr>
          <w:lang w:val="nl-BE"/>
        </w:rPr>
        <w:t xml:space="preserve"> ‘</w:t>
      </w:r>
      <w:r w:rsidRPr="00972BEC">
        <w:rPr>
          <w:b/>
          <w:bCs/>
          <w:lang w:val="nl-BE"/>
        </w:rPr>
        <w:t>op welke manier ook</w:t>
      </w:r>
      <w:r w:rsidRPr="00972BEC">
        <w:rPr>
          <w:lang w:val="nl-BE"/>
        </w:rPr>
        <w:t xml:space="preserve">’ gehanteerd </w:t>
      </w:r>
      <w:r w:rsidR="00FD2340" w:rsidRPr="00972BEC">
        <w:rPr>
          <w:lang w:val="nl-BE"/>
        </w:rPr>
        <w:t>D</w:t>
      </w:r>
      <w:r w:rsidRPr="00972BEC">
        <w:rPr>
          <w:lang w:val="nl-BE"/>
        </w:rPr>
        <w:t xml:space="preserve">e verantwoording </w:t>
      </w:r>
      <w:r w:rsidR="00FD2340" w:rsidRPr="00972BEC">
        <w:rPr>
          <w:lang w:val="nl-BE"/>
        </w:rPr>
        <w:t>voor</w:t>
      </w:r>
      <w:r w:rsidRPr="00972BEC">
        <w:rPr>
          <w:lang w:val="nl-BE"/>
        </w:rPr>
        <w:t xml:space="preserve"> deze verruiming is </w:t>
      </w:r>
      <w:r w:rsidR="00FD2340" w:rsidRPr="00972BEC">
        <w:rPr>
          <w:lang w:val="nl-BE"/>
        </w:rPr>
        <w:t xml:space="preserve">blijkens de memorie van toelichting </w:t>
      </w:r>
      <w:r w:rsidRPr="00972BEC">
        <w:rPr>
          <w:lang w:val="nl-BE"/>
        </w:rPr>
        <w:t xml:space="preserve">gestoeld op de Richtlijn 2011/93/EU van het Europees Parlement en de Raad van 13 december 2011 </w:t>
      </w:r>
      <w:r w:rsidRPr="00972BEC">
        <w:rPr>
          <w:rFonts w:cstheme="minorHAnsi"/>
          <w:shd w:val="clear" w:color="auto" w:fill="FFFFFF"/>
          <w:lang w:val="nl-BE"/>
        </w:rPr>
        <w:t xml:space="preserve">ter bestrijding </w:t>
      </w:r>
      <w:r w:rsidRPr="0069784D">
        <w:rPr>
          <w:rFonts w:cstheme="minorHAnsi"/>
          <w:color w:val="333333"/>
          <w:shd w:val="clear" w:color="auto" w:fill="FFFFFF"/>
          <w:lang w:val="nl-BE"/>
        </w:rPr>
        <w:t>van seksueel misbruik en seksuele uitbuiting van kinderen en kinderpornografie, en ter vervanging van Kaderbesluit 2004/68/JBZ van de Raad</w:t>
      </w:r>
      <w:r w:rsidRPr="0069784D">
        <w:rPr>
          <w:lang w:val="nl-BE"/>
        </w:rPr>
        <w:t xml:space="preserve">, waarbij de </w:t>
      </w:r>
      <w:r w:rsidR="00172E85" w:rsidRPr="0069784D">
        <w:rPr>
          <w:lang w:val="nl-BE"/>
        </w:rPr>
        <w:t>S</w:t>
      </w:r>
      <w:r w:rsidRPr="0069784D">
        <w:rPr>
          <w:lang w:val="nl-BE"/>
        </w:rPr>
        <w:t xml:space="preserve">taten aangemoedigd worden om van dergelijke voorstellen </w:t>
      </w:r>
      <w:r w:rsidRPr="0069784D">
        <w:rPr>
          <w:i/>
          <w:iCs/>
          <w:lang w:val="nl-BE"/>
        </w:rPr>
        <w:t>in real life</w:t>
      </w:r>
      <w:r w:rsidRPr="0069784D">
        <w:rPr>
          <w:lang w:val="nl-BE"/>
        </w:rPr>
        <w:t xml:space="preserve"> een strafrechtelijk misdrijf te maken. </w:t>
      </w:r>
    </w:p>
    <w:p w14:paraId="0DCBBFC7" w14:textId="2F42C6AC" w:rsidR="000B0421" w:rsidRPr="0069784D" w:rsidRDefault="00FD2340" w:rsidP="009C15CF">
      <w:pPr>
        <w:jc w:val="both"/>
        <w:rPr>
          <w:lang w:val="nl-BE"/>
        </w:rPr>
      </w:pPr>
      <w:r w:rsidRPr="00972BEC">
        <w:rPr>
          <w:lang w:val="nl-BE"/>
        </w:rPr>
        <w:t xml:space="preserve">Nochtans werden </w:t>
      </w:r>
      <w:r w:rsidR="00FB4EA1" w:rsidRPr="00972BEC">
        <w:rPr>
          <w:lang w:val="nl-BE"/>
        </w:rPr>
        <w:t>dergelijke voorste</w:t>
      </w:r>
      <w:r w:rsidRPr="00972BEC">
        <w:rPr>
          <w:lang w:val="nl-BE"/>
        </w:rPr>
        <w:t>l</w:t>
      </w:r>
      <w:r w:rsidR="00FB4EA1" w:rsidRPr="00972BEC">
        <w:rPr>
          <w:lang w:val="nl-BE"/>
        </w:rPr>
        <w:t xml:space="preserve">len (op welke manier ook) </w:t>
      </w:r>
      <w:r w:rsidR="00E211CC" w:rsidRPr="00972BEC">
        <w:rPr>
          <w:lang w:val="nl-BE"/>
        </w:rPr>
        <w:t xml:space="preserve">onder gelding van de oude strafwet </w:t>
      </w:r>
      <w:r w:rsidR="00FB4EA1" w:rsidRPr="00972BEC">
        <w:rPr>
          <w:lang w:val="nl-BE"/>
        </w:rPr>
        <w:t xml:space="preserve">reeds strafbaar </w:t>
      </w:r>
      <w:r w:rsidR="00E211CC" w:rsidRPr="00972BEC">
        <w:rPr>
          <w:lang w:val="nl-BE"/>
        </w:rPr>
        <w:t xml:space="preserve">worden </w:t>
      </w:r>
      <w:r w:rsidR="00FB4EA1" w:rsidRPr="00972BEC">
        <w:rPr>
          <w:lang w:val="nl-BE"/>
        </w:rPr>
        <w:t xml:space="preserve">gesteld </w:t>
      </w:r>
      <w:r w:rsidR="00E211CC" w:rsidRPr="00972BEC">
        <w:rPr>
          <w:lang w:val="nl-BE"/>
        </w:rPr>
        <w:t xml:space="preserve">zij het </w:t>
      </w:r>
      <w:r w:rsidR="00FB4EA1" w:rsidRPr="00972BEC">
        <w:rPr>
          <w:lang w:val="nl-BE"/>
        </w:rPr>
        <w:t>enkel in de vorm van de verzw</w:t>
      </w:r>
      <w:r w:rsidR="001946B2" w:rsidRPr="00972BEC">
        <w:rPr>
          <w:lang w:val="nl-BE"/>
        </w:rPr>
        <w:t>a</w:t>
      </w:r>
      <w:r w:rsidR="00FB4EA1" w:rsidRPr="00972BEC">
        <w:rPr>
          <w:lang w:val="nl-BE"/>
        </w:rPr>
        <w:t xml:space="preserve">rende omstandigheid uit </w:t>
      </w:r>
      <w:r w:rsidR="001946B2" w:rsidRPr="00972BEC">
        <w:rPr>
          <w:b/>
          <w:bCs/>
          <w:lang w:val="nl-BE"/>
        </w:rPr>
        <w:t xml:space="preserve">het vroegere </w:t>
      </w:r>
      <w:r w:rsidR="00FB4EA1" w:rsidRPr="00972BEC">
        <w:rPr>
          <w:b/>
          <w:bCs/>
          <w:lang w:val="nl-BE"/>
        </w:rPr>
        <w:t>artikel</w:t>
      </w:r>
      <w:r w:rsidR="00FB4EA1" w:rsidRPr="00972BEC">
        <w:rPr>
          <w:lang w:val="nl-BE"/>
        </w:rPr>
        <w:t xml:space="preserve"> 377</w:t>
      </w:r>
      <w:r w:rsidR="00172E85" w:rsidRPr="00972BEC">
        <w:rPr>
          <w:lang w:val="nl-BE"/>
        </w:rPr>
        <w:t>ter</w:t>
      </w:r>
      <w:r w:rsidR="00FB4EA1" w:rsidRPr="00972BEC">
        <w:rPr>
          <w:lang w:val="nl-BE"/>
        </w:rPr>
        <w:t xml:space="preserve"> van het Strafwetboek</w:t>
      </w:r>
      <w:r w:rsidR="000B0421" w:rsidRPr="0069784D">
        <w:rPr>
          <w:lang w:val="nl-BE"/>
        </w:rPr>
        <w:t>.</w:t>
      </w:r>
    </w:p>
    <w:p w14:paraId="5C88DC54" w14:textId="5A0A9798" w:rsidR="000B0421" w:rsidRPr="0069784D" w:rsidRDefault="001946B2" w:rsidP="009C15CF">
      <w:pPr>
        <w:jc w:val="both"/>
        <w:rPr>
          <w:lang w:val="nl-BE"/>
        </w:rPr>
      </w:pPr>
      <w:r w:rsidRPr="0069784D">
        <w:rPr>
          <w:lang w:val="nl-BE"/>
        </w:rPr>
        <w:t xml:space="preserve">Deze nieuwe strafbaarstelling was met andere woorden reeds in de </w:t>
      </w:r>
      <w:r w:rsidRPr="00972BEC">
        <w:rPr>
          <w:lang w:val="nl-BE"/>
        </w:rPr>
        <w:t>vroegere wet</w:t>
      </w:r>
      <w:r w:rsidR="00E211CC" w:rsidRPr="00972BEC">
        <w:rPr>
          <w:lang w:val="nl-BE"/>
        </w:rPr>
        <w:t xml:space="preserve"> begrepen </w:t>
      </w:r>
      <w:r w:rsidRPr="00972BEC">
        <w:rPr>
          <w:lang w:val="nl-BE"/>
        </w:rPr>
        <w:t xml:space="preserve"> via een gecombineerde toepassing van de artikelen 377ter en 377quater, </w:t>
      </w:r>
      <w:r w:rsidR="00E211CC" w:rsidRPr="00972BEC">
        <w:rPr>
          <w:lang w:val="nl-BE"/>
        </w:rPr>
        <w:t xml:space="preserve">weliswaar met dien verstande dat zij zich </w:t>
      </w:r>
      <w:r w:rsidRPr="00972BEC">
        <w:rPr>
          <w:lang w:val="nl-BE"/>
        </w:rPr>
        <w:t xml:space="preserve">beperkte tot minderjarigen jonger dan 16 jaar. De strafbaarstelling wordt voortaan dus uitgebreid, aangezien het nieuwe artikel 417/24 </w:t>
      </w:r>
      <w:r w:rsidR="00E211CC" w:rsidRPr="00972BEC">
        <w:rPr>
          <w:lang w:val="nl-BE"/>
        </w:rPr>
        <w:t xml:space="preserve">van toepassing is </w:t>
      </w:r>
      <w:r w:rsidRPr="00972BEC">
        <w:rPr>
          <w:lang w:val="nl-BE"/>
        </w:rPr>
        <w:t>op alle minderjarigen</w:t>
      </w:r>
      <w:r w:rsidR="00972BEC" w:rsidRPr="00972BEC">
        <w:rPr>
          <w:lang w:val="nl-BE"/>
        </w:rPr>
        <w:t>.</w:t>
      </w:r>
      <w:r w:rsidRPr="00972BEC">
        <w:rPr>
          <w:lang w:val="nl-BE"/>
        </w:rPr>
        <w:t xml:space="preserve"> </w:t>
      </w:r>
    </w:p>
    <w:p w14:paraId="097974B6" w14:textId="23FF92E1" w:rsidR="000B0421" w:rsidRPr="0069784D" w:rsidRDefault="001946B2" w:rsidP="009C15CF">
      <w:pPr>
        <w:jc w:val="both"/>
        <w:rPr>
          <w:lang w:val="nl-BE"/>
        </w:rPr>
      </w:pPr>
      <w:r w:rsidRPr="0069784D">
        <w:rPr>
          <w:lang w:val="nl-BE"/>
        </w:rPr>
        <w:t>Een andere uitbreiding is het gevolg van het feit dat het vroegere artikel 377quater enkel betrekking had op meerderjarigen die een minderjarige jonger dan 16 jaar benaderden</w:t>
      </w:r>
      <w:r w:rsidR="000872F7" w:rsidRPr="0069784D">
        <w:rPr>
          <w:lang w:val="nl-BE"/>
        </w:rPr>
        <w:t xml:space="preserve">. Minderjarigen die andere minderjarigen benaderden konden op grond van dit artikel dus niet strafbaar gesteld worden, hetgeen voortaan wél mogelijk is. </w:t>
      </w:r>
    </w:p>
    <w:p w14:paraId="137F16B4" w14:textId="636694DB" w:rsidR="000B0421" w:rsidRPr="00972BEC" w:rsidRDefault="000872F7" w:rsidP="009C15CF">
      <w:pPr>
        <w:jc w:val="both"/>
        <w:rPr>
          <w:lang w:val="nl-BE"/>
        </w:rPr>
      </w:pPr>
      <w:r w:rsidRPr="0069784D">
        <w:rPr>
          <w:lang w:val="nl-BE"/>
        </w:rPr>
        <w:t xml:space="preserve">De nieuwe tekst verzwaart daarentegen de minimumstraf aangezien dit misdrijf bestraft wordt met een </w:t>
      </w:r>
      <w:r w:rsidRPr="00972BEC">
        <w:rPr>
          <w:lang w:val="nl-BE"/>
        </w:rPr>
        <w:t xml:space="preserve">gevangenisstraf van drie tot vijf jaar, terwijl voorheen de combinatie van beide voornoemde artikelen </w:t>
      </w:r>
      <w:r w:rsidR="00E211CC" w:rsidRPr="00972BEC">
        <w:rPr>
          <w:lang w:val="nl-BE"/>
        </w:rPr>
        <w:t xml:space="preserve">aanleiding gaf tot </w:t>
      </w:r>
      <w:r w:rsidRPr="00972BEC">
        <w:rPr>
          <w:lang w:val="nl-BE"/>
        </w:rPr>
        <w:t xml:space="preserve">straffen van twee tot vijf jaar. </w:t>
      </w:r>
    </w:p>
    <w:p w14:paraId="0D96ADCB" w14:textId="63C534CB" w:rsidR="000B0421" w:rsidRPr="00972BEC" w:rsidRDefault="00E211CC" w:rsidP="009C15CF">
      <w:pPr>
        <w:jc w:val="both"/>
        <w:rPr>
          <w:lang w:val="nl-BE"/>
        </w:rPr>
      </w:pPr>
      <w:r w:rsidRPr="00972BEC">
        <w:rPr>
          <w:lang w:val="nl-BE"/>
        </w:rPr>
        <w:t xml:space="preserve">Evenzeer met betrekking tot </w:t>
      </w:r>
      <w:r w:rsidR="000872F7" w:rsidRPr="00972BEC">
        <w:rPr>
          <w:lang w:val="nl-BE"/>
        </w:rPr>
        <w:t xml:space="preserve">dit misdrijf dient </w:t>
      </w:r>
      <w:r w:rsidRPr="00972BEC">
        <w:rPr>
          <w:lang w:val="nl-BE"/>
        </w:rPr>
        <w:t xml:space="preserve">te worden gewezen op </w:t>
      </w:r>
      <w:r w:rsidR="000872F7" w:rsidRPr="00972BEC">
        <w:rPr>
          <w:lang w:val="nl-BE"/>
        </w:rPr>
        <w:t>het nieuwe artikel</w:t>
      </w:r>
      <w:r w:rsidR="000B0421" w:rsidRPr="00972BEC">
        <w:rPr>
          <w:lang w:val="nl-BE"/>
        </w:rPr>
        <w:t xml:space="preserve"> 417/50</w:t>
      </w:r>
      <w:r w:rsidR="000872F7" w:rsidRPr="00972BEC">
        <w:rPr>
          <w:lang w:val="nl-BE"/>
        </w:rPr>
        <w:t xml:space="preserve">, dat het begrip ‘verzwarende factoren’ </w:t>
      </w:r>
      <w:r w:rsidRPr="00972BEC">
        <w:rPr>
          <w:lang w:val="nl-BE"/>
        </w:rPr>
        <w:t xml:space="preserve">introduceert zoals het werd ontleend aan </w:t>
      </w:r>
      <w:r w:rsidR="000872F7" w:rsidRPr="00972BEC">
        <w:rPr>
          <w:lang w:val="nl-BE"/>
        </w:rPr>
        <w:t>het in voorbereiding zijnde nieuwe Strafwetboek</w:t>
      </w:r>
      <w:r w:rsidR="000B0421" w:rsidRPr="00972BEC">
        <w:rPr>
          <w:lang w:val="nl-BE"/>
        </w:rPr>
        <w:t xml:space="preserve"> </w:t>
      </w:r>
    </w:p>
    <w:p w14:paraId="6895F346" w14:textId="1F8732BB" w:rsidR="000B0421" w:rsidRPr="0069784D" w:rsidRDefault="00911EFB" w:rsidP="009C15CF">
      <w:pPr>
        <w:jc w:val="both"/>
        <w:rPr>
          <w:lang w:val="nl-BE"/>
        </w:rPr>
      </w:pPr>
      <w:r w:rsidRPr="00972BEC">
        <w:rPr>
          <w:lang w:val="nl-BE"/>
        </w:rPr>
        <w:t xml:space="preserve">Voormeld </w:t>
      </w:r>
      <w:r w:rsidR="000872F7" w:rsidRPr="00972BEC">
        <w:rPr>
          <w:lang w:val="nl-BE"/>
        </w:rPr>
        <w:t xml:space="preserve">artikel voorziet in zes verzwarende factoren. Artikel </w:t>
      </w:r>
      <w:r w:rsidR="00C23155" w:rsidRPr="00972BEC">
        <w:rPr>
          <w:b/>
          <w:lang w:val="nl-BE"/>
        </w:rPr>
        <w:t>417/50, 5°</w:t>
      </w:r>
      <w:r w:rsidR="000872F7" w:rsidRPr="00972BEC">
        <w:rPr>
          <w:lang w:val="nl-BE"/>
        </w:rPr>
        <w:t xml:space="preserve"> heeft specifiek betrekking op het in artikel</w:t>
      </w:r>
      <w:r w:rsidR="000B0421" w:rsidRPr="00972BEC">
        <w:rPr>
          <w:lang w:val="nl-BE"/>
        </w:rPr>
        <w:t xml:space="preserve"> 417</w:t>
      </w:r>
      <w:r w:rsidR="000B0421" w:rsidRPr="0069784D">
        <w:rPr>
          <w:lang w:val="nl-BE"/>
        </w:rPr>
        <w:t>/24</w:t>
      </w:r>
      <w:r w:rsidR="000872F7" w:rsidRPr="0069784D">
        <w:rPr>
          <w:lang w:val="nl-BE"/>
        </w:rPr>
        <w:t xml:space="preserve"> bedoelde misdrijf, en luidt als volgt: </w:t>
      </w:r>
    </w:p>
    <w:p w14:paraId="5BA2BCEA" w14:textId="2437B95E" w:rsidR="000B0421" w:rsidRPr="0069784D" w:rsidRDefault="00671383" w:rsidP="009C15CF">
      <w:pPr>
        <w:jc w:val="both"/>
        <w:rPr>
          <w:i/>
          <w:iCs/>
          <w:lang w:val="nl-BE"/>
        </w:rPr>
      </w:pPr>
      <w:r w:rsidRPr="0069784D">
        <w:rPr>
          <w:i/>
          <w:iCs/>
          <w:color w:val="000000"/>
          <w:lang w:val="nl-BE"/>
        </w:rPr>
        <w:t>“Bij de keuze van de straf of de maatregel en de zwaarte ervan voor een misdrijf bedoeld in deze afdeling houdt de rechter in het bijzonder rekening met het feit dat:</w:t>
      </w:r>
      <w:r w:rsidRPr="0069784D">
        <w:rPr>
          <w:i/>
          <w:iCs/>
          <w:lang w:val="nl-BE"/>
        </w:rPr>
        <w:t xml:space="preserve"> 5</w:t>
      </w:r>
      <w:r w:rsidRPr="0069784D">
        <w:rPr>
          <w:i/>
          <w:iCs/>
          <w:color w:val="000000"/>
          <w:lang w:val="nl-BE"/>
        </w:rPr>
        <w:t>  het misdrijf werd gepleegd op een minderjarige beneden de volle leeftijd van zestien jaar en is voorafgegaan door een benadering van deze minderjarige vanwege de dader met het oogmerk om op een later tijdstip de in die afdeling bepaalde feiten te plegen.”</w:t>
      </w:r>
      <w:r w:rsidRPr="0069784D">
        <w:rPr>
          <w:i/>
          <w:iCs/>
          <w:lang w:val="nl-BE"/>
        </w:rPr>
        <w:t xml:space="preserve"> </w:t>
      </w:r>
    </w:p>
    <w:p w14:paraId="0D3639D9" w14:textId="4F16ED62" w:rsidR="000B0421" w:rsidRPr="0069784D" w:rsidRDefault="005171F1" w:rsidP="009C15CF">
      <w:pPr>
        <w:jc w:val="both"/>
        <w:rPr>
          <w:lang w:val="nl-BE"/>
        </w:rPr>
      </w:pPr>
      <w:r w:rsidRPr="0069784D">
        <w:rPr>
          <w:b/>
          <w:lang w:val="nl-BE"/>
        </w:rPr>
        <w:t xml:space="preserve">Het tegelijkertijd bestaan van een autonoom misdrijf </w:t>
      </w:r>
      <w:r w:rsidR="000B0421" w:rsidRPr="0069784D">
        <w:rPr>
          <w:lang w:val="nl-BE"/>
        </w:rPr>
        <w:t>(</w:t>
      </w:r>
      <w:r w:rsidRPr="0069784D">
        <w:rPr>
          <w:lang w:val="nl-BE"/>
        </w:rPr>
        <w:t>bedoeld in het nieuwe artikel</w:t>
      </w:r>
      <w:r w:rsidR="000B0421" w:rsidRPr="0069784D">
        <w:rPr>
          <w:lang w:val="nl-BE"/>
        </w:rPr>
        <w:t xml:space="preserve"> 417/24</w:t>
      </w:r>
      <w:r w:rsidRPr="0069784D">
        <w:rPr>
          <w:lang w:val="nl-BE"/>
        </w:rPr>
        <w:t xml:space="preserve">, waarvan de formulering reeds de vroegere strafbaarstelling uit artikel 377ter overnam) </w:t>
      </w:r>
      <w:r w:rsidR="00C23155" w:rsidRPr="0069784D">
        <w:rPr>
          <w:b/>
          <w:lang w:val="nl-BE"/>
        </w:rPr>
        <w:t>e</w:t>
      </w:r>
      <w:r w:rsidRPr="0069784D">
        <w:rPr>
          <w:b/>
          <w:lang w:val="nl-BE"/>
        </w:rPr>
        <w:t>n een verzwarende factor</w:t>
      </w:r>
      <w:r w:rsidR="00C23155" w:rsidRPr="0069784D">
        <w:rPr>
          <w:lang w:val="nl-BE"/>
        </w:rPr>
        <w:t xml:space="preserve"> </w:t>
      </w:r>
      <w:r w:rsidRPr="0069784D">
        <w:rPr>
          <w:lang w:val="nl-BE"/>
        </w:rPr>
        <w:t xml:space="preserve">wordt in de memorie van toelichting als volgt verantwoord: </w:t>
      </w:r>
      <w:r w:rsidR="000C0BD9" w:rsidRPr="0069784D">
        <w:rPr>
          <w:i/>
          <w:iCs/>
          <w:lang w:val="nl-BE"/>
        </w:rPr>
        <w:t>“</w:t>
      </w:r>
      <w:r w:rsidRPr="0069784D">
        <w:rPr>
          <w:i/>
          <w:iCs/>
          <w:lang w:val="nl-BE"/>
        </w:rPr>
        <w:t xml:space="preserve">De omschrijving van grooming als autonoom misdrijf en als verzwarende factor is niet helemaal gelijklopend, zoals dit ook in het Strafwetboek niet het geval is. Er wordt dan ook geopteerd voor het behoud van zowel het autonoom misdrijf als van de verzwarende factor. Het autonoom misdrijf van grooming is voltooid wanneer het </w:t>
      </w:r>
      <w:r w:rsidRPr="0069784D">
        <w:rPr>
          <w:i/>
          <w:iCs/>
          <w:lang w:val="nl-BE"/>
        </w:rPr>
        <w:lastRenderedPageBreak/>
        <w:t>voorstel tot ontmoeting wordt geformuleerd en wordt gevolgd door materiële handelingen die tot een dergelijke ontmoeting leiden. Er moet evenwel geen daadwerkelijke ontmoeting zijn geweest</w:t>
      </w:r>
      <w:r w:rsidR="000C0BD9" w:rsidRPr="0069784D">
        <w:rPr>
          <w:i/>
          <w:iCs/>
          <w:lang w:val="nl-BE"/>
        </w:rPr>
        <w:t>.</w:t>
      </w:r>
      <w:r w:rsidRPr="0069784D">
        <w:rPr>
          <w:i/>
          <w:iCs/>
          <w:lang w:val="nl-BE"/>
        </w:rPr>
        <w:t xml:space="preserve"> M.b.t. de grooming als verzwarende factor wordt geen gewag gemaakt van “een voorstel tot ontmoeting”, doch wel van een “benadering” van het slachtoffer door de dader. Onder “benadering” moet worden begrepen het op enigerlei wijze benaderen en voorbereiden van de minderjarige om zijn vertrouwen te winnen teneinde vervolgens te kunnen overgaan tot het plegen van een seksueel misdrijf</w:t>
      </w:r>
      <w:r w:rsidR="000C0BD9" w:rsidRPr="0069784D">
        <w:rPr>
          <w:i/>
          <w:iCs/>
          <w:lang w:val="nl-BE"/>
        </w:rPr>
        <w:t>.</w:t>
      </w:r>
      <w:r w:rsidRPr="0069784D">
        <w:rPr>
          <w:i/>
          <w:iCs/>
          <w:lang w:val="nl-BE"/>
        </w:rPr>
        <w:t xml:space="preserve"> </w:t>
      </w:r>
      <w:r w:rsidR="000C0BD9" w:rsidRPr="0069784D">
        <w:rPr>
          <w:i/>
          <w:iCs/>
          <w:lang w:val="nl-BE"/>
        </w:rPr>
        <w:t>Het kan wel zijn dat in een concreet geval de gedraging zowel ressorteert onder de grooming als autonoom misdrijf als onder de verzwarende factor. We hebben dan te maken met een samenloopsituatie.”</w:t>
      </w:r>
      <w:r w:rsidRPr="0069784D">
        <w:rPr>
          <w:rStyle w:val="FootnoteReference"/>
          <w:lang w:val="nl-BE"/>
        </w:rPr>
        <w:footnoteReference w:customMarkFollows="1" w:id="62"/>
        <w:t>62</w:t>
      </w:r>
      <w:r w:rsidR="000C0BD9" w:rsidRPr="0069784D">
        <w:rPr>
          <w:lang w:val="nl-BE"/>
        </w:rPr>
        <w:t>.</w:t>
      </w:r>
    </w:p>
    <w:p w14:paraId="0BFD7BA5" w14:textId="77777777" w:rsidR="00241792" w:rsidRPr="0069784D" w:rsidRDefault="00241792" w:rsidP="009C15CF">
      <w:pPr>
        <w:jc w:val="both"/>
        <w:rPr>
          <w:i/>
          <w:iCs/>
          <w:color w:val="000000"/>
          <w:lang w:val="nl-BE"/>
        </w:rPr>
      </w:pPr>
      <w:r w:rsidRPr="0069784D">
        <w:rPr>
          <w:lang w:val="nl-BE"/>
        </w:rPr>
        <w:t xml:space="preserve">Het is ook aangewezen om te verwijzen naar het bestaan van het meer algemene misdrijf ‘lokken van minderjarigen via informatie- en communicatietechnologie’ uit artikel </w:t>
      </w:r>
      <w:r w:rsidR="00032B37" w:rsidRPr="0069784D">
        <w:rPr>
          <w:lang w:val="nl-BE"/>
        </w:rPr>
        <w:t xml:space="preserve">433bis/1 </w:t>
      </w:r>
      <w:r w:rsidRPr="0069784D">
        <w:rPr>
          <w:lang w:val="nl-BE"/>
        </w:rPr>
        <w:t>van het Strafwetboek, dat als volgt luidt</w:t>
      </w:r>
      <w:r w:rsidR="00032B37" w:rsidRPr="0069784D">
        <w:rPr>
          <w:lang w:val="nl-BE"/>
        </w:rPr>
        <w:t>:</w:t>
      </w:r>
      <w:r w:rsidRPr="0069784D">
        <w:rPr>
          <w:lang w:val="nl-BE"/>
        </w:rPr>
        <w:t xml:space="preserve"> “</w:t>
      </w:r>
      <w:r w:rsidRPr="0069784D">
        <w:rPr>
          <w:i/>
          <w:iCs/>
          <w:color w:val="000000"/>
          <w:lang w:val="nl-BE"/>
        </w:rPr>
        <w:t>Met gevangenisstraf van drie maanden tot vijf jaar wordt gestraft de meerderjarige die door middel van informatie- en communicatietechnologieën communiceert met een kennelijk of vermoedelijk minderjarige om het plegen van een misdaad of een wanbedrijf jegens hem te vergemakkelijken :</w:t>
      </w:r>
    </w:p>
    <w:p w14:paraId="12490DED" w14:textId="77777777" w:rsidR="00241792" w:rsidRPr="0069784D" w:rsidRDefault="00241792" w:rsidP="009C15CF">
      <w:pPr>
        <w:jc w:val="both"/>
        <w:rPr>
          <w:i/>
          <w:iCs/>
          <w:color w:val="000000"/>
          <w:lang w:val="nl-BE"/>
        </w:rPr>
      </w:pPr>
      <w:r w:rsidRPr="0069784D">
        <w:rPr>
          <w:i/>
          <w:iCs/>
          <w:color w:val="000000"/>
          <w:lang w:val="nl-BE"/>
        </w:rPr>
        <w:t>1° indien hij zijn identiteit, leeftijd en hoedanigheid heeft verzwegen of hierover heeft gelogen;</w:t>
      </w:r>
    </w:p>
    <w:p w14:paraId="0C0849A4" w14:textId="05707EF2" w:rsidR="00241792" w:rsidRPr="0069784D" w:rsidRDefault="00241792" w:rsidP="009C15CF">
      <w:pPr>
        <w:jc w:val="both"/>
        <w:rPr>
          <w:i/>
          <w:iCs/>
          <w:color w:val="000000"/>
          <w:lang w:val="nl-BE"/>
        </w:rPr>
      </w:pPr>
      <w:r w:rsidRPr="0069784D">
        <w:rPr>
          <w:i/>
          <w:iCs/>
          <w:color w:val="000000"/>
          <w:lang w:val="nl-BE"/>
        </w:rPr>
        <w:t>2° indien hij de nadruk heeft gelegd op de in acht te nemen discretie over hun gesprekken;</w:t>
      </w:r>
    </w:p>
    <w:p w14:paraId="2AFD4676" w14:textId="77777777" w:rsidR="00241792" w:rsidRPr="0069784D" w:rsidRDefault="00241792" w:rsidP="009C15CF">
      <w:pPr>
        <w:jc w:val="both"/>
        <w:rPr>
          <w:i/>
          <w:iCs/>
          <w:color w:val="000000"/>
          <w:lang w:val="nl-BE"/>
        </w:rPr>
      </w:pPr>
      <w:r w:rsidRPr="0069784D">
        <w:rPr>
          <w:i/>
          <w:iCs/>
          <w:color w:val="000000"/>
          <w:lang w:val="nl-BE"/>
        </w:rPr>
        <w:t>3° indien hij enig geschenk of voordeel heeft aangeboden of voorgespiegeld;</w:t>
      </w:r>
    </w:p>
    <w:p w14:paraId="7455EF54" w14:textId="636A00A5" w:rsidR="000B0421" w:rsidRPr="0069784D" w:rsidRDefault="00241792" w:rsidP="009C15CF">
      <w:pPr>
        <w:jc w:val="both"/>
        <w:rPr>
          <w:i/>
          <w:iCs/>
          <w:color w:val="000000"/>
          <w:lang w:val="nl-BE"/>
        </w:rPr>
      </w:pPr>
      <w:r w:rsidRPr="0069784D">
        <w:rPr>
          <w:i/>
          <w:iCs/>
          <w:color w:val="000000"/>
          <w:lang w:val="nl-BE"/>
        </w:rPr>
        <w:t>4° indien hij enige andere list heeft aangewend.”</w:t>
      </w:r>
    </w:p>
    <w:p w14:paraId="22990538" w14:textId="77777777" w:rsidR="00241792" w:rsidRPr="0069784D" w:rsidRDefault="00241792" w:rsidP="009C15CF">
      <w:pPr>
        <w:jc w:val="both"/>
        <w:rPr>
          <w:i/>
          <w:iCs/>
          <w:lang w:val="nl-BE"/>
        </w:rPr>
      </w:pPr>
    </w:p>
    <w:p w14:paraId="1FCB5DE2" w14:textId="2D3C8C7A" w:rsidR="000B0421" w:rsidRPr="0069784D" w:rsidRDefault="00035585" w:rsidP="009C15CF">
      <w:pPr>
        <w:pStyle w:val="Heading3"/>
        <w:jc w:val="both"/>
        <w:rPr>
          <w:rFonts w:asciiTheme="minorHAnsi" w:hAnsiTheme="minorHAnsi" w:cstheme="minorHAnsi"/>
          <w:color w:val="auto"/>
          <w:sz w:val="32"/>
          <w:szCs w:val="32"/>
          <w:lang w:val="nl-BE"/>
        </w:rPr>
      </w:pPr>
      <w:bookmarkStart w:id="4" w:name="_Toc104134028"/>
      <w:r w:rsidRPr="0069784D">
        <w:rPr>
          <w:rFonts w:asciiTheme="minorHAnsi" w:hAnsiTheme="minorHAnsi" w:cstheme="minorHAnsi"/>
          <w:color w:val="auto"/>
          <w:sz w:val="32"/>
          <w:szCs w:val="32"/>
          <w:lang w:val="nl-BE"/>
        </w:rPr>
        <w:t>Onderafdeling 2: Seksuele uitbuiting van minderjarigen met het oog op prostitutie</w:t>
      </w:r>
      <w:bookmarkEnd w:id="4"/>
    </w:p>
    <w:p w14:paraId="5DE6BA58" w14:textId="77777777" w:rsidR="00035585" w:rsidRPr="0069784D" w:rsidRDefault="00035585" w:rsidP="009C15CF">
      <w:pPr>
        <w:jc w:val="both"/>
        <w:rPr>
          <w:bCs/>
          <w:lang w:val="nl-BE"/>
        </w:rPr>
      </w:pPr>
    </w:p>
    <w:p w14:paraId="57DD5E06" w14:textId="2CDB99A1" w:rsidR="000B0421" w:rsidRPr="0069784D" w:rsidRDefault="000B0421" w:rsidP="009C15CF">
      <w:pPr>
        <w:jc w:val="both"/>
        <w:rPr>
          <w:bCs/>
          <w:lang w:val="nl-BE"/>
        </w:rPr>
      </w:pPr>
      <w:r w:rsidRPr="0069784D">
        <w:rPr>
          <w:bCs/>
          <w:lang w:val="nl-BE"/>
        </w:rPr>
        <w:t>Arti</w:t>
      </w:r>
      <w:r w:rsidR="00035585" w:rsidRPr="0069784D">
        <w:rPr>
          <w:bCs/>
          <w:lang w:val="nl-BE"/>
        </w:rPr>
        <w:t>kelen</w:t>
      </w:r>
      <w:r w:rsidRPr="0069784D">
        <w:rPr>
          <w:bCs/>
          <w:lang w:val="nl-BE"/>
        </w:rPr>
        <w:t xml:space="preserve"> 417/25 </w:t>
      </w:r>
      <w:r w:rsidR="00035585" w:rsidRPr="0069784D">
        <w:rPr>
          <w:bCs/>
          <w:lang w:val="nl-BE"/>
        </w:rPr>
        <w:t>tot</w:t>
      </w:r>
      <w:r w:rsidRPr="0069784D">
        <w:rPr>
          <w:bCs/>
          <w:lang w:val="nl-BE"/>
        </w:rPr>
        <w:t xml:space="preserve"> 417/42 </w:t>
      </w:r>
    </w:p>
    <w:p w14:paraId="626CEB7D" w14:textId="77C9C461" w:rsidR="000B0421" w:rsidRPr="0069784D" w:rsidRDefault="00035585" w:rsidP="009C15CF">
      <w:pPr>
        <w:jc w:val="both"/>
        <w:rPr>
          <w:lang w:val="nl-BE"/>
        </w:rPr>
      </w:pPr>
      <w:r w:rsidRPr="0069784D">
        <w:rPr>
          <w:lang w:val="nl-BE"/>
        </w:rPr>
        <w:t xml:space="preserve">Deze artikelen </w:t>
      </w:r>
      <w:r w:rsidR="00E849B0" w:rsidRPr="0069784D">
        <w:rPr>
          <w:lang w:val="nl-BE"/>
        </w:rPr>
        <w:t>beogen volgende handelingen</w:t>
      </w:r>
      <w:r w:rsidR="000B0421" w:rsidRPr="0069784D">
        <w:rPr>
          <w:lang w:val="nl-BE"/>
        </w:rPr>
        <w:t>:</w:t>
      </w:r>
    </w:p>
    <w:p w14:paraId="0792F60D" w14:textId="6F45B9AF" w:rsidR="000B0421" w:rsidRPr="0069784D" w:rsidRDefault="00204753" w:rsidP="009C15CF">
      <w:pPr>
        <w:pStyle w:val="ListParagraph"/>
        <w:numPr>
          <w:ilvl w:val="0"/>
          <w:numId w:val="9"/>
        </w:numPr>
        <w:spacing w:after="0"/>
        <w:jc w:val="both"/>
        <w:rPr>
          <w:lang w:val="nl-BE"/>
        </w:rPr>
      </w:pPr>
      <w:r w:rsidRPr="0069784D">
        <w:rPr>
          <w:lang w:val="nl-BE"/>
        </w:rPr>
        <w:t>B</w:t>
      </w:r>
      <w:r w:rsidRPr="0069784D">
        <w:rPr>
          <w:color w:val="000000"/>
          <w:lang w:val="nl-BE"/>
        </w:rPr>
        <w:t>ewegen van een minderjarige tot het plegen van ontucht of prostitutie</w:t>
      </w:r>
    </w:p>
    <w:p w14:paraId="2BF609D2" w14:textId="256F83D1" w:rsidR="000B0421" w:rsidRPr="0069784D" w:rsidRDefault="00204753" w:rsidP="009C15CF">
      <w:pPr>
        <w:pStyle w:val="ListParagraph"/>
        <w:numPr>
          <w:ilvl w:val="0"/>
          <w:numId w:val="9"/>
        </w:numPr>
        <w:spacing w:after="0"/>
        <w:jc w:val="both"/>
        <w:rPr>
          <w:lang w:val="nl-BE"/>
        </w:rPr>
      </w:pPr>
      <w:r w:rsidRPr="0069784D">
        <w:rPr>
          <w:color w:val="000000"/>
          <w:lang w:val="nl-BE"/>
        </w:rPr>
        <w:t>Werven van een minderjarige voor ontucht of prostitutie</w:t>
      </w:r>
      <w:r w:rsidR="000B0421" w:rsidRPr="0069784D">
        <w:rPr>
          <w:lang w:val="nl-BE"/>
        </w:rPr>
        <w:t>,</w:t>
      </w:r>
    </w:p>
    <w:p w14:paraId="18E38081" w14:textId="4220BCEC" w:rsidR="000B0421" w:rsidRPr="0069784D" w:rsidRDefault="00204753" w:rsidP="009C15CF">
      <w:pPr>
        <w:pStyle w:val="ListParagraph"/>
        <w:numPr>
          <w:ilvl w:val="0"/>
          <w:numId w:val="9"/>
        </w:numPr>
        <w:jc w:val="both"/>
        <w:rPr>
          <w:lang w:val="nl-BE"/>
        </w:rPr>
      </w:pPr>
      <w:r w:rsidRPr="0069784D">
        <w:rPr>
          <w:color w:val="000000"/>
          <w:lang w:val="nl-BE"/>
        </w:rPr>
        <w:t>Houden van een huis van ontucht of prostitutie waar een minderjarige ontucht of prostitutie pleegt</w:t>
      </w:r>
      <w:r w:rsidR="000B0421" w:rsidRPr="0069784D">
        <w:rPr>
          <w:lang w:val="nl-BE"/>
        </w:rPr>
        <w:t>,</w:t>
      </w:r>
    </w:p>
    <w:p w14:paraId="6AC585B7" w14:textId="4ABC182D" w:rsidR="000B0421" w:rsidRPr="0069784D" w:rsidRDefault="00204753" w:rsidP="009C15CF">
      <w:pPr>
        <w:pStyle w:val="ListParagraph"/>
        <w:numPr>
          <w:ilvl w:val="0"/>
          <w:numId w:val="9"/>
        </w:numPr>
        <w:jc w:val="both"/>
        <w:rPr>
          <w:lang w:val="nl-BE"/>
        </w:rPr>
      </w:pPr>
      <w:r w:rsidRPr="0069784D">
        <w:rPr>
          <w:color w:val="000000"/>
          <w:lang w:val="nl-BE"/>
        </w:rPr>
        <w:t>Ter beschikking stellen van een ruimte aan een minderjarige met het oog op ontucht of prostitutie</w:t>
      </w:r>
      <w:r w:rsidR="000B0421" w:rsidRPr="0069784D">
        <w:rPr>
          <w:lang w:val="nl-BE"/>
        </w:rPr>
        <w:t xml:space="preserve">, </w:t>
      </w:r>
    </w:p>
    <w:p w14:paraId="36A7A7CE" w14:textId="76837842" w:rsidR="000B0421" w:rsidRPr="0069784D" w:rsidRDefault="00204753" w:rsidP="009C15CF">
      <w:pPr>
        <w:pStyle w:val="ListParagraph"/>
        <w:numPr>
          <w:ilvl w:val="0"/>
          <w:numId w:val="9"/>
        </w:numPr>
        <w:jc w:val="both"/>
        <w:rPr>
          <w:lang w:val="nl-BE"/>
        </w:rPr>
      </w:pPr>
      <w:r w:rsidRPr="0069784D">
        <w:rPr>
          <w:color w:val="000000"/>
          <w:lang w:val="nl-BE"/>
        </w:rPr>
        <w:t>Exploitatie van de ontucht of prostitutie van een minderjarige</w:t>
      </w:r>
      <w:r w:rsidR="000B0421" w:rsidRPr="0069784D">
        <w:rPr>
          <w:lang w:val="nl-BE"/>
        </w:rPr>
        <w:t xml:space="preserve">, </w:t>
      </w:r>
    </w:p>
    <w:p w14:paraId="58DD5A15" w14:textId="406AE6D1" w:rsidR="000B0421" w:rsidRPr="0069784D" w:rsidRDefault="00204753" w:rsidP="009C15CF">
      <w:pPr>
        <w:pStyle w:val="ListParagraph"/>
        <w:numPr>
          <w:ilvl w:val="0"/>
          <w:numId w:val="9"/>
        </w:numPr>
        <w:jc w:val="both"/>
        <w:rPr>
          <w:lang w:val="nl-BE"/>
        </w:rPr>
      </w:pPr>
      <w:r w:rsidRPr="0069784D">
        <w:rPr>
          <w:color w:val="000000"/>
          <w:lang w:val="nl-BE"/>
        </w:rPr>
        <w:t>Verkrijgen van de ontucht of de prostitutie van een minderjarige</w:t>
      </w:r>
      <w:r w:rsidRPr="0069784D">
        <w:rPr>
          <w:lang w:val="nl-BE"/>
        </w:rPr>
        <w:t xml:space="preserve"> </w:t>
      </w:r>
      <w:r w:rsidR="000B0421" w:rsidRPr="0069784D">
        <w:rPr>
          <w:lang w:val="nl-BE"/>
        </w:rPr>
        <w:t>( = p</w:t>
      </w:r>
      <w:r w:rsidRPr="0069784D">
        <w:rPr>
          <w:lang w:val="nl-BE"/>
        </w:rPr>
        <w:t>enalisering van de klant</w:t>
      </w:r>
      <w:r w:rsidR="000B0421" w:rsidRPr="0069784D">
        <w:rPr>
          <w:lang w:val="nl-BE"/>
        </w:rPr>
        <w:t>)</w:t>
      </w:r>
      <w:r w:rsidR="005B2F4C" w:rsidRPr="0069784D">
        <w:rPr>
          <w:lang w:val="nl-BE"/>
        </w:rPr>
        <w:t>,</w:t>
      </w:r>
      <w:r w:rsidR="000B0421" w:rsidRPr="0069784D">
        <w:rPr>
          <w:lang w:val="nl-BE"/>
        </w:rPr>
        <w:t xml:space="preserve"> </w:t>
      </w:r>
    </w:p>
    <w:p w14:paraId="3ED5C613" w14:textId="131EA032" w:rsidR="000B0421" w:rsidRPr="0069784D" w:rsidRDefault="00204753" w:rsidP="009C15CF">
      <w:pPr>
        <w:pStyle w:val="ListParagraph"/>
        <w:numPr>
          <w:ilvl w:val="0"/>
          <w:numId w:val="9"/>
        </w:numPr>
        <w:jc w:val="both"/>
        <w:rPr>
          <w:lang w:val="nl-BE"/>
        </w:rPr>
      </w:pPr>
      <w:r w:rsidRPr="0069784D">
        <w:rPr>
          <w:color w:val="000000"/>
          <w:lang w:val="nl-BE"/>
        </w:rPr>
        <w:t>Organisatie van ontucht of prostitutie van een minderjarige in vereniging</w:t>
      </w:r>
      <w:r w:rsidR="000B0421" w:rsidRPr="0069784D">
        <w:rPr>
          <w:lang w:val="nl-BE"/>
        </w:rPr>
        <w:t xml:space="preserve">, </w:t>
      </w:r>
    </w:p>
    <w:p w14:paraId="2A1C96B4" w14:textId="4CAC1310" w:rsidR="000B0421" w:rsidRPr="0069784D" w:rsidRDefault="00204753" w:rsidP="009C15CF">
      <w:pPr>
        <w:pStyle w:val="ListParagraph"/>
        <w:numPr>
          <w:ilvl w:val="0"/>
          <w:numId w:val="9"/>
        </w:numPr>
        <w:jc w:val="both"/>
        <w:rPr>
          <w:lang w:val="nl-BE"/>
        </w:rPr>
      </w:pPr>
      <w:r w:rsidRPr="0069784D">
        <w:rPr>
          <w:color w:val="000000"/>
          <w:lang w:val="nl-BE"/>
        </w:rPr>
        <w:t>Bijwonen van ontucht of prostitutie van een minderjarige</w:t>
      </w:r>
      <w:r w:rsidR="000B0421" w:rsidRPr="0069784D">
        <w:rPr>
          <w:lang w:val="nl-BE"/>
        </w:rPr>
        <w:t xml:space="preserve">, </w:t>
      </w:r>
    </w:p>
    <w:p w14:paraId="25CE3C07" w14:textId="13D1BA64" w:rsidR="000B0421" w:rsidRPr="0069784D" w:rsidRDefault="00204753" w:rsidP="009C15CF">
      <w:pPr>
        <w:pStyle w:val="ListParagraph"/>
        <w:numPr>
          <w:ilvl w:val="0"/>
          <w:numId w:val="9"/>
        </w:numPr>
        <w:jc w:val="both"/>
        <w:rPr>
          <w:lang w:val="nl-BE"/>
        </w:rPr>
      </w:pPr>
      <w:r w:rsidRPr="0069784D">
        <w:rPr>
          <w:color w:val="000000"/>
          <w:lang w:val="nl-BE"/>
        </w:rPr>
        <w:t>Reclame maken voor ontucht en prostitutie van een minderjarige</w:t>
      </w:r>
      <w:r w:rsidR="000B0421" w:rsidRPr="0069784D">
        <w:rPr>
          <w:lang w:val="nl-BE"/>
        </w:rPr>
        <w:t xml:space="preserve">, </w:t>
      </w:r>
    </w:p>
    <w:p w14:paraId="358E468B" w14:textId="5BC2CC96" w:rsidR="00204753" w:rsidRPr="0069784D" w:rsidRDefault="00204753" w:rsidP="009C15CF">
      <w:pPr>
        <w:pStyle w:val="ListParagraph"/>
        <w:numPr>
          <w:ilvl w:val="0"/>
          <w:numId w:val="9"/>
        </w:numPr>
        <w:jc w:val="both"/>
        <w:rPr>
          <w:lang w:val="nl-BE"/>
        </w:rPr>
      </w:pPr>
      <w:r w:rsidRPr="0069784D">
        <w:rPr>
          <w:color w:val="000000"/>
          <w:lang w:val="nl-BE"/>
        </w:rPr>
        <w:lastRenderedPageBreak/>
        <w:t>Aanzetten tot het plegen van ontucht of tot exploitatie van de prostitutie van een minderjarige in het openbaar of door enig reclamemiddel</w:t>
      </w:r>
      <w:r w:rsidR="00172E85" w:rsidRPr="0069784D">
        <w:rPr>
          <w:lang w:val="nl-BE"/>
        </w:rPr>
        <w:t>,</w:t>
      </w:r>
    </w:p>
    <w:p w14:paraId="30F8D424" w14:textId="164DD627" w:rsidR="000B0421" w:rsidRPr="0069784D" w:rsidRDefault="00204753" w:rsidP="009C15CF">
      <w:pPr>
        <w:pStyle w:val="ListParagraph"/>
        <w:numPr>
          <w:ilvl w:val="0"/>
          <w:numId w:val="9"/>
        </w:numPr>
        <w:jc w:val="both"/>
        <w:rPr>
          <w:lang w:val="nl-BE"/>
        </w:rPr>
      </w:pPr>
      <w:r w:rsidRPr="0069784D">
        <w:rPr>
          <w:color w:val="000000"/>
          <w:lang w:val="nl-BE"/>
        </w:rPr>
        <w:t>Verbeurdverklaring van het instrument van het misdrijf</w:t>
      </w:r>
      <w:r w:rsidR="000B0421" w:rsidRPr="0069784D">
        <w:rPr>
          <w:lang w:val="nl-BE"/>
        </w:rPr>
        <w:t>.</w:t>
      </w:r>
    </w:p>
    <w:p w14:paraId="54EF4085" w14:textId="77777777" w:rsidR="000B0421" w:rsidRPr="0069784D" w:rsidRDefault="000B0421" w:rsidP="009C15CF">
      <w:pPr>
        <w:pStyle w:val="ListParagraph"/>
        <w:jc w:val="both"/>
        <w:rPr>
          <w:lang w:val="nl-BE"/>
        </w:rPr>
      </w:pPr>
    </w:p>
    <w:p w14:paraId="798B072E" w14:textId="524EB47A" w:rsidR="000B0421" w:rsidRPr="0069784D" w:rsidRDefault="00204753" w:rsidP="009C15CF">
      <w:pPr>
        <w:jc w:val="both"/>
        <w:rPr>
          <w:lang w:val="nl-BE"/>
        </w:rPr>
      </w:pPr>
      <w:r w:rsidRPr="0069784D">
        <w:rPr>
          <w:lang w:val="nl-BE"/>
        </w:rPr>
        <w:t xml:space="preserve">Via afzonderlijke hoofdmisdrijven </w:t>
      </w:r>
      <w:r w:rsidR="00911EFB" w:rsidRPr="00911EFB">
        <w:rPr>
          <w:color w:val="FF0000"/>
          <w:lang w:val="nl-BE"/>
        </w:rPr>
        <w:t>-</w:t>
      </w:r>
      <w:r w:rsidRPr="0069784D">
        <w:rPr>
          <w:lang w:val="nl-BE"/>
        </w:rPr>
        <w:t>met</w:t>
      </w:r>
      <w:r w:rsidRPr="00911EFB">
        <w:rPr>
          <w:strike/>
          <w:color w:val="FF0000"/>
          <w:lang w:val="nl-BE"/>
        </w:rPr>
        <w:t xml:space="preserve">, </w:t>
      </w:r>
      <w:r w:rsidRPr="0069784D">
        <w:rPr>
          <w:lang w:val="nl-BE"/>
        </w:rPr>
        <w:t>vanzelfsprekend</w:t>
      </w:r>
      <w:r w:rsidRPr="00911EFB">
        <w:rPr>
          <w:strike/>
          <w:color w:val="FF0000"/>
          <w:lang w:val="nl-BE"/>
        </w:rPr>
        <w:t>,</w:t>
      </w:r>
      <w:r w:rsidRPr="0069784D">
        <w:rPr>
          <w:lang w:val="nl-BE"/>
        </w:rPr>
        <w:t xml:space="preserve"> afzonderlijke straffen</w:t>
      </w:r>
      <w:r w:rsidR="00911EFB" w:rsidRPr="00911EFB">
        <w:rPr>
          <w:color w:val="FF0000"/>
          <w:lang w:val="nl-BE"/>
        </w:rPr>
        <w:t>-</w:t>
      </w:r>
      <w:r w:rsidRPr="0069784D">
        <w:rPr>
          <w:lang w:val="nl-BE"/>
        </w:rPr>
        <w:t xml:space="preserve"> worden de meeste van deze misdrijven opgesplitst door een onderscheid te maken tussen minderjarigen ouder en jonger dan 16 jaar</w:t>
      </w:r>
      <w:r w:rsidR="000B0421" w:rsidRPr="0069784D">
        <w:rPr>
          <w:lang w:val="nl-BE"/>
        </w:rPr>
        <w:t xml:space="preserve">. </w:t>
      </w:r>
    </w:p>
    <w:p w14:paraId="6ED69229" w14:textId="65457E14" w:rsidR="00C47CC8" w:rsidRPr="0069784D" w:rsidRDefault="00204753" w:rsidP="009C15CF">
      <w:pPr>
        <w:jc w:val="both"/>
        <w:rPr>
          <w:lang w:val="nl-BE"/>
        </w:rPr>
      </w:pPr>
      <w:r w:rsidRPr="0069784D">
        <w:rPr>
          <w:lang w:val="nl-BE"/>
        </w:rPr>
        <w:t>Er werd ook een verzwarende factor opgenomen in artikel</w:t>
      </w:r>
      <w:r w:rsidR="000B0421" w:rsidRPr="0069784D">
        <w:rPr>
          <w:lang w:val="nl-BE"/>
        </w:rPr>
        <w:t xml:space="preserve"> 417/50</w:t>
      </w:r>
      <w:r w:rsidR="00C23155" w:rsidRPr="0069784D">
        <w:rPr>
          <w:lang w:val="nl-BE"/>
        </w:rPr>
        <w:t xml:space="preserve">, </w:t>
      </w:r>
      <w:r w:rsidR="000B0421" w:rsidRPr="0069784D">
        <w:rPr>
          <w:lang w:val="nl-BE"/>
        </w:rPr>
        <w:t>4°</w:t>
      </w:r>
      <w:r w:rsidRPr="0069784D">
        <w:rPr>
          <w:lang w:val="nl-BE"/>
        </w:rPr>
        <w:t>, namelijk wanneer het gaat om een minderjarige jonger dan 10 jaar.</w:t>
      </w:r>
    </w:p>
    <w:p w14:paraId="680C806A" w14:textId="33A96E18" w:rsidR="00DC0CBE" w:rsidRPr="0069784D" w:rsidRDefault="00204753" w:rsidP="009C15CF">
      <w:pPr>
        <w:jc w:val="both"/>
        <w:rPr>
          <w:lang w:val="nl-BE"/>
        </w:rPr>
      </w:pPr>
      <w:r w:rsidRPr="0069784D">
        <w:rPr>
          <w:lang w:val="nl-BE"/>
        </w:rPr>
        <w:t>Algemeen gesproken kan gesteld worden dat de misdrijven geherformuleerd werden</w:t>
      </w:r>
      <w:r w:rsidR="00DC0CBE" w:rsidRPr="0069784D">
        <w:rPr>
          <w:lang w:val="nl-BE"/>
        </w:rPr>
        <w:t>.</w:t>
      </w:r>
    </w:p>
    <w:p w14:paraId="572D54F8" w14:textId="2AB77F89" w:rsidR="00BB6A7C" w:rsidRPr="00972BEC" w:rsidRDefault="00020D76" w:rsidP="009C15CF">
      <w:pPr>
        <w:jc w:val="both"/>
        <w:rPr>
          <w:strike/>
          <w:lang w:val="nl-BE"/>
        </w:rPr>
      </w:pPr>
      <w:r w:rsidRPr="0069784D">
        <w:rPr>
          <w:lang w:val="nl-BE"/>
        </w:rPr>
        <w:t xml:space="preserve">Het voorheen </w:t>
      </w:r>
      <w:r w:rsidRPr="00972BEC">
        <w:rPr>
          <w:lang w:val="nl-BE"/>
        </w:rPr>
        <w:t xml:space="preserve">vereiste doel, namelijk “ten einde eens anders driften te voldoen”, wordt geschrapt omdat dit </w:t>
      </w:r>
      <w:r w:rsidR="00911EFB" w:rsidRPr="00972BEC">
        <w:rPr>
          <w:lang w:val="nl-BE"/>
        </w:rPr>
        <w:t xml:space="preserve">volgens </w:t>
      </w:r>
      <w:r w:rsidRPr="00972BEC">
        <w:rPr>
          <w:lang w:val="nl-BE"/>
        </w:rPr>
        <w:t xml:space="preserve">de memorie van toelichting geen meerwaarde biedt, </w:t>
      </w:r>
      <w:r w:rsidR="00911EFB" w:rsidRPr="00972BEC">
        <w:rPr>
          <w:lang w:val="nl-BE"/>
        </w:rPr>
        <w:t xml:space="preserve">hetgeen </w:t>
      </w:r>
      <w:r w:rsidRPr="00972BEC">
        <w:rPr>
          <w:lang w:val="nl-BE"/>
        </w:rPr>
        <w:t xml:space="preserve">bovendien </w:t>
      </w:r>
      <w:r w:rsidR="00911EFB" w:rsidRPr="00972BEC">
        <w:rPr>
          <w:lang w:val="nl-BE"/>
        </w:rPr>
        <w:t xml:space="preserve">aanleiding geeft tot een </w:t>
      </w:r>
      <w:r w:rsidR="001438C2" w:rsidRPr="00972BEC">
        <w:rPr>
          <w:lang w:val="nl-BE"/>
        </w:rPr>
        <w:t xml:space="preserve">uitbreiding van de strafbaarstelling </w:t>
      </w:r>
      <w:r w:rsidRPr="00972BEC">
        <w:rPr>
          <w:lang w:val="nl-BE"/>
        </w:rPr>
        <w:t>aangezien er voortaan sprake moet zijn van een</w:t>
      </w:r>
      <w:r w:rsidR="001438C2" w:rsidRPr="00972BEC">
        <w:rPr>
          <w:lang w:val="nl-BE"/>
        </w:rPr>
        <w:t xml:space="preserve"> algemeen</w:t>
      </w:r>
      <w:r w:rsidRPr="00972BEC">
        <w:rPr>
          <w:lang w:val="nl-BE"/>
        </w:rPr>
        <w:t xml:space="preserve"> opzet. </w:t>
      </w:r>
    </w:p>
    <w:p w14:paraId="4B2DD573" w14:textId="546D4C7D" w:rsidR="00B232A6" w:rsidRPr="00972BEC" w:rsidRDefault="00020D76" w:rsidP="009C15CF">
      <w:pPr>
        <w:jc w:val="both"/>
        <w:rPr>
          <w:lang w:val="nl-BE"/>
        </w:rPr>
      </w:pPr>
      <w:r w:rsidRPr="00972BEC">
        <w:rPr>
          <w:lang w:val="nl-BE"/>
        </w:rPr>
        <w:t xml:space="preserve">Voor een aantal misdrijven wordt de strafmaat verzwaard </w:t>
      </w:r>
      <w:r w:rsidR="001438C2" w:rsidRPr="00972BEC">
        <w:rPr>
          <w:lang w:val="nl-BE"/>
        </w:rPr>
        <w:t xml:space="preserve">middels </w:t>
      </w:r>
      <w:r w:rsidRPr="00972BEC">
        <w:rPr>
          <w:lang w:val="nl-BE"/>
        </w:rPr>
        <w:t>een verhoging van de gevangenisstraf. De straffen zijn ook hoger in vergelijking met de</w:t>
      </w:r>
      <w:r w:rsidR="00B103C7" w:rsidRPr="00972BEC">
        <w:rPr>
          <w:lang w:val="nl-BE"/>
        </w:rPr>
        <w:t>ze inzake mensenhandel voor seksuele doeleinden. De s</w:t>
      </w:r>
      <w:r w:rsidR="00972BEC" w:rsidRPr="00972BEC">
        <w:rPr>
          <w:lang w:val="nl-BE"/>
        </w:rPr>
        <w:t xml:space="preserve">trafbaarstelling ‘mensenhandel’ </w:t>
      </w:r>
      <w:r w:rsidR="001438C2" w:rsidRPr="00972BEC">
        <w:rPr>
          <w:lang w:val="nl-BE"/>
        </w:rPr>
        <w:t>weerhouden houdt echter</w:t>
      </w:r>
      <w:r w:rsidR="00B103C7" w:rsidRPr="00972BEC">
        <w:rPr>
          <w:lang w:val="nl-BE"/>
        </w:rPr>
        <w:t xml:space="preserve"> een meerwaarde </w:t>
      </w:r>
      <w:r w:rsidR="001438C2" w:rsidRPr="00972BEC">
        <w:rPr>
          <w:lang w:val="nl-BE"/>
        </w:rPr>
        <w:t xml:space="preserve">in op het vlak van </w:t>
      </w:r>
      <w:r w:rsidR="00B103C7" w:rsidRPr="00972BEC">
        <w:rPr>
          <w:lang w:val="nl-BE"/>
        </w:rPr>
        <w:t xml:space="preserve">de toekenning van het statuut van slachtoffer en de bijstand aan en begeleiding van de slachtoffers. </w:t>
      </w:r>
      <w:r w:rsidR="00DC0CBE" w:rsidRPr="00972BEC">
        <w:rPr>
          <w:lang w:val="nl-BE"/>
        </w:rPr>
        <w:t xml:space="preserve"> </w:t>
      </w:r>
    </w:p>
    <w:p w14:paraId="789F5C29" w14:textId="56C97A1B" w:rsidR="00B232A6" w:rsidRPr="0069784D" w:rsidRDefault="00B103C7" w:rsidP="009C15CF">
      <w:pPr>
        <w:jc w:val="both"/>
        <w:rPr>
          <w:lang w:val="nl-BE"/>
        </w:rPr>
      </w:pPr>
      <w:r w:rsidRPr="0069784D">
        <w:rPr>
          <w:lang w:val="nl-BE"/>
        </w:rPr>
        <w:t>De wetgever streefde ernaar de strafbaarstelling van prostitutie en ontucht van minderjarigen te behouden, terwijl de exploitatie van ontucht van meerderjarigen geschrapt werd</w:t>
      </w:r>
      <w:r w:rsidR="00817777" w:rsidRPr="0069784D">
        <w:rPr>
          <w:lang w:val="nl-BE"/>
        </w:rPr>
        <w:t>.</w:t>
      </w:r>
    </w:p>
    <w:p w14:paraId="2D8F3A39" w14:textId="20EFB29E" w:rsidR="00DC0CBE" w:rsidRPr="0069784D" w:rsidRDefault="00B103C7" w:rsidP="009C15CF">
      <w:pPr>
        <w:jc w:val="both"/>
        <w:rPr>
          <w:lang w:val="nl-BE"/>
        </w:rPr>
      </w:pPr>
      <w:r w:rsidRPr="0069784D">
        <w:rPr>
          <w:lang w:val="nl-BE"/>
        </w:rPr>
        <w:t xml:space="preserve">‘Ontucht’ en ‘prostitutie’ zijn overigens geen synoniemen. </w:t>
      </w:r>
    </w:p>
    <w:p w14:paraId="38B23445" w14:textId="1B2FD9D3" w:rsidR="00C47CC8" w:rsidRPr="0069784D" w:rsidRDefault="001438C2" w:rsidP="009C15CF">
      <w:pPr>
        <w:jc w:val="both"/>
        <w:rPr>
          <w:lang w:val="nl-BE"/>
        </w:rPr>
      </w:pPr>
      <w:r w:rsidRPr="00972BEC">
        <w:rPr>
          <w:lang w:val="nl-BE"/>
        </w:rPr>
        <w:t xml:space="preserve">De </w:t>
      </w:r>
      <w:r w:rsidR="00B103C7" w:rsidRPr="00972BEC">
        <w:rPr>
          <w:lang w:val="nl-BE"/>
        </w:rPr>
        <w:t xml:space="preserve">memorie van toelichting </w:t>
      </w:r>
      <w:r w:rsidRPr="00972BEC">
        <w:rPr>
          <w:lang w:val="nl-BE"/>
        </w:rPr>
        <w:t>brengt in dat verband in herinnering dat onder prostitutie dient te worden verstaan</w:t>
      </w:r>
      <w:r w:rsidR="00B103C7" w:rsidRPr="00972BEC">
        <w:rPr>
          <w:lang w:val="nl-BE"/>
        </w:rPr>
        <w:t>: “</w:t>
      </w:r>
      <w:r w:rsidR="00B103C7" w:rsidRPr="00972BEC">
        <w:rPr>
          <w:i/>
          <w:iCs/>
          <w:lang w:val="nl-BE"/>
        </w:rPr>
        <w:t>het gewoonlijk en geregeld toestemmen in het verhandelen van zijn lichaam of in het tegen betaling aangaan van geslachtsbetrekkingen met een onbeperkt aantal personen. ”</w:t>
      </w:r>
      <w:r w:rsidR="00B103C7" w:rsidRPr="00972BEC">
        <w:rPr>
          <w:lang w:val="nl-BE"/>
        </w:rPr>
        <w:t xml:space="preserve"> De betaling kan in geld, maar ook </w:t>
      </w:r>
      <w:r w:rsidRPr="00972BEC">
        <w:rPr>
          <w:lang w:val="nl-BE"/>
        </w:rPr>
        <w:t xml:space="preserve">middels het ter beschikking stellen </w:t>
      </w:r>
      <w:r w:rsidR="00B103C7" w:rsidRPr="00972BEC">
        <w:rPr>
          <w:lang w:val="nl-BE"/>
        </w:rPr>
        <w:t>van onderdak</w:t>
      </w:r>
      <w:r w:rsidR="00B103C7" w:rsidRPr="0069784D">
        <w:rPr>
          <w:lang w:val="nl-BE"/>
        </w:rPr>
        <w:t xml:space="preserve">, voeding of kledij gebeuren. </w:t>
      </w:r>
    </w:p>
    <w:p w14:paraId="402286F5" w14:textId="1EE65F5A" w:rsidR="00C47CC8" w:rsidRPr="0069784D" w:rsidRDefault="00B103C7" w:rsidP="009C15CF">
      <w:pPr>
        <w:jc w:val="both"/>
        <w:rPr>
          <w:lang w:val="nl-BE"/>
        </w:rPr>
      </w:pPr>
      <w:r w:rsidRPr="0069784D">
        <w:rPr>
          <w:lang w:val="nl-BE"/>
        </w:rPr>
        <w:t xml:space="preserve">Zo stelde het Brusselse hof van beroep dat reclame maken voor </w:t>
      </w:r>
      <w:r w:rsidR="00C47CC8" w:rsidRPr="0069784D">
        <w:rPr>
          <w:i/>
          <w:iCs/>
          <w:lang w:val="nl-BE"/>
        </w:rPr>
        <w:t>sugar babies</w:t>
      </w:r>
      <w:r w:rsidRPr="0069784D">
        <w:rPr>
          <w:lang w:val="nl-BE"/>
        </w:rPr>
        <w:t xml:space="preserve"> beschouwd kan worden als</w:t>
      </w:r>
      <w:r w:rsidR="00060D1D" w:rsidRPr="0069784D">
        <w:rPr>
          <w:lang w:val="nl-BE"/>
        </w:rPr>
        <w:t xml:space="preserve"> </w:t>
      </w:r>
      <w:r w:rsidRPr="0069784D">
        <w:rPr>
          <w:lang w:val="nl-BE"/>
        </w:rPr>
        <w:t>een poging tot aanzetten tot prostitutie, aangezien hiervoor een foto gebruikt w</w:t>
      </w:r>
      <w:r w:rsidR="002A673A" w:rsidRPr="0069784D">
        <w:rPr>
          <w:lang w:val="nl-BE"/>
        </w:rPr>
        <w:t>ordt</w:t>
      </w:r>
      <w:r w:rsidRPr="0069784D">
        <w:rPr>
          <w:lang w:val="nl-BE"/>
        </w:rPr>
        <w:t xml:space="preserve"> van een jonge vrouw die het schou</w:t>
      </w:r>
      <w:r w:rsidR="00060D1D" w:rsidRPr="0069784D">
        <w:rPr>
          <w:lang w:val="nl-BE"/>
        </w:rPr>
        <w:t xml:space="preserve">derbandje van haar BH laat zaken en de voordelen die een </w:t>
      </w:r>
      <w:r w:rsidR="00C47CC8" w:rsidRPr="0069784D">
        <w:rPr>
          <w:i/>
          <w:iCs/>
          <w:lang w:val="nl-BE"/>
        </w:rPr>
        <w:t>sugar baby</w:t>
      </w:r>
      <w:r w:rsidR="00060D1D" w:rsidRPr="0069784D">
        <w:rPr>
          <w:lang w:val="nl-BE"/>
        </w:rPr>
        <w:t xml:space="preserve"> uit een dergelijke relatie kan halen bovendien in detail op de website in kwestie uiteengezet worden</w:t>
      </w:r>
      <w:r w:rsidR="00C47CC8" w:rsidRPr="0069784D">
        <w:rPr>
          <w:lang w:val="nl-BE"/>
        </w:rPr>
        <w:t xml:space="preserve"> (Bru</w:t>
      </w:r>
      <w:r w:rsidR="00060D1D" w:rsidRPr="0069784D">
        <w:rPr>
          <w:lang w:val="nl-BE"/>
        </w:rPr>
        <w:t>ssel</w:t>
      </w:r>
      <w:r w:rsidR="00C47CC8" w:rsidRPr="0069784D">
        <w:rPr>
          <w:lang w:val="nl-BE"/>
        </w:rPr>
        <w:t>, 28 a</w:t>
      </w:r>
      <w:r w:rsidR="00060D1D" w:rsidRPr="0069784D">
        <w:rPr>
          <w:lang w:val="nl-BE"/>
        </w:rPr>
        <w:t>p</w:t>
      </w:r>
      <w:r w:rsidR="00C47CC8" w:rsidRPr="0069784D">
        <w:rPr>
          <w:lang w:val="nl-BE"/>
        </w:rPr>
        <w:t>ril 2021).</w:t>
      </w:r>
    </w:p>
    <w:p w14:paraId="2BB9DD92" w14:textId="0A5E413E" w:rsidR="00C47CC8" w:rsidRPr="0069784D" w:rsidRDefault="00060D1D" w:rsidP="009C15CF">
      <w:pPr>
        <w:jc w:val="both"/>
        <w:rPr>
          <w:lang w:val="nl-BE"/>
        </w:rPr>
      </w:pPr>
      <w:r w:rsidRPr="0069784D">
        <w:rPr>
          <w:lang w:val="nl-BE"/>
        </w:rPr>
        <w:t>In de rechtspraak wordt ervan uitgegaan dat het begrip ‘prostitutie’ niet noodzakelijk een seksuele relatie in de strikte zin vereist, en dat onzedige aanraking</w:t>
      </w:r>
      <w:r w:rsidR="002A673A" w:rsidRPr="0069784D">
        <w:rPr>
          <w:lang w:val="nl-BE"/>
        </w:rPr>
        <w:t>en</w:t>
      </w:r>
      <w:r w:rsidRPr="0069784D">
        <w:rPr>
          <w:lang w:val="nl-BE"/>
        </w:rPr>
        <w:t xml:space="preserve"> hiervoor volstaan</w:t>
      </w:r>
      <w:r w:rsidR="00C47CC8" w:rsidRPr="0069784D">
        <w:rPr>
          <w:lang w:val="nl-BE"/>
        </w:rPr>
        <w:t xml:space="preserve"> (Cass.</w:t>
      </w:r>
      <w:r w:rsidRPr="0069784D">
        <w:rPr>
          <w:lang w:val="nl-BE"/>
        </w:rPr>
        <w:t>, 3 januari 1</w:t>
      </w:r>
      <w:r w:rsidR="00C47CC8" w:rsidRPr="0069784D">
        <w:rPr>
          <w:lang w:val="nl-BE"/>
        </w:rPr>
        <w:t>962 e</w:t>
      </w:r>
      <w:r w:rsidRPr="0069784D">
        <w:rPr>
          <w:lang w:val="nl-BE"/>
        </w:rPr>
        <w:t>n</w:t>
      </w:r>
      <w:r w:rsidR="00C47CC8" w:rsidRPr="0069784D">
        <w:rPr>
          <w:lang w:val="nl-BE"/>
        </w:rPr>
        <w:t xml:space="preserve"> Corr. Bru</w:t>
      </w:r>
      <w:r w:rsidRPr="0069784D">
        <w:rPr>
          <w:lang w:val="nl-BE"/>
        </w:rPr>
        <w:t>ssel</w:t>
      </w:r>
      <w:r w:rsidR="00C47CC8" w:rsidRPr="0069784D">
        <w:rPr>
          <w:lang w:val="nl-BE"/>
        </w:rPr>
        <w:t>, 9 jun</w:t>
      </w:r>
      <w:r w:rsidRPr="0069784D">
        <w:rPr>
          <w:lang w:val="nl-BE"/>
        </w:rPr>
        <w:t>i</w:t>
      </w:r>
      <w:r w:rsidR="00C47CC8" w:rsidRPr="0069784D">
        <w:rPr>
          <w:lang w:val="nl-BE"/>
        </w:rPr>
        <w:t xml:space="preserve"> 1961, J.T., 1962, 210).</w:t>
      </w:r>
    </w:p>
    <w:p w14:paraId="0CE4BBF5" w14:textId="76783CB9" w:rsidR="00FA3107" w:rsidRPr="0069784D" w:rsidRDefault="00A25B4F" w:rsidP="009C15CF">
      <w:pPr>
        <w:jc w:val="both"/>
        <w:rPr>
          <w:lang w:val="nl-BE"/>
        </w:rPr>
      </w:pPr>
      <w:r w:rsidRPr="0069784D">
        <w:rPr>
          <w:lang w:val="nl-BE"/>
        </w:rPr>
        <w:t xml:space="preserve">Het begrip ‘ontucht’ is ruimer op te vatten en aan evolutie onderhevig. Het Hof van </w:t>
      </w:r>
      <w:r w:rsidRPr="00972BEC">
        <w:rPr>
          <w:lang w:val="nl-BE"/>
        </w:rPr>
        <w:t>Cassatie stelt</w:t>
      </w:r>
      <w:r w:rsidR="001438C2" w:rsidRPr="00972BEC">
        <w:rPr>
          <w:lang w:val="nl-BE"/>
        </w:rPr>
        <w:t xml:space="preserve"> in dat verband </w:t>
      </w:r>
      <w:r w:rsidRPr="00972BEC">
        <w:rPr>
          <w:lang w:val="nl-BE"/>
        </w:rPr>
        <w:t xml:space="preserve"> </w:t>
      </w:r>
      <w:r w:rsidR="002D208A" w:rsidRPr="00972BEC">
        <w:rPr>
          <w:lang w:val="nl-BE"/>
        </w:rPr>
        <w:t>meer bepaald</w:t>
      </w:r>
      <w:r w:rsidR="002D208A" w:rsidRPr="00972BEC">
        <w:rPr>
          <w:rFonts w:cstheme="minorHAnsi"/>
          <w:lang w:val="nl-BE"/>
        </w:rPr>
        <w:t xml:space="preserve">: </w:t>
      </w:r>
      <w:r w:rsidR="002D208A" w:rsidRPr="00972BEC">
        <w:rPr>
          <w:rFonts w:cstheme="minorHAnsi"/>
          <w:i/>
          <w:iCs/>
          <w:lang w:val="nl-BE"/>
        </w:rPr>
        <w:t>“</w:t>
      </w:r>
      <w:r w:rsidR="002D208A" w:rsidRPr="00972BEC">
        <w:rPr>
          <w:rFonts w:cstheme="minorHAnsi"/>
          <w:i/>
          <w:iCs/>
          <w:shd w:val="clear" w:color="auto" w:fill="FFFFFF"/>
          <w:lang w:val="nl-BE"/>
        </w:rPr>
        <w:t xml:space="preserve">Het begrip " ontucht ", in de zin van art. 380 bis, 2°, Sw. is ruimer </w:t>
      </w:r>
      <w:r w:rsidR="002D208A" w:rsidRPr="0069784D">
        <w:rPr>
          <w:rFonts w:cstheme="minorHAnsi"/>
          <w:i/>
          <w:iCs/>
          <w:color w:val="000000"/>
          <w:shd w:val="clear" w:color="auto" w:fill="FFFFFF"/>
          <w:lang w:val="nl-BE"/>
        </w:rPr>
        <w:t>dan het begrip "prostitutie "; het omvat ook liederlijke en onzedelijke handelingen die met prostitutie niets te maken hebben en die van elke vergoeding onafhankelijk kunnen zijn</w:t>
      </w:r>
      <w:r w:rsidR="00890FDC" w:rsidRPr="0069784D">
        <w:rPr>
          <w:rFonts w:cstheme="minorHAnsi"/>
          <w:i/>
          <w:iCs/>
          <w:color w:val="000000"/>
          <w:shd w:val="clear" w:color="auto" w:fill="FFFFFF"/>
          <w:lang w:val="nl-BE"/>
        </w:rPr>
        <w:t>.”</w:t>
      </w:r>
      <w:r w:rsidR="00FA3107" w:rsidRPr="0069784D">
        <w:rPr>
          <w:lang w:val="nl-BE"/>
        </w:rPr>
        <w:t xml:space="preserve"> (Cass. 30 </w:t>
      </w:r>
      <w:r w:rsidR="00060D1D" w:rsidRPr="0069784D">
        <w:rPr>
          <w:lang w:val="nl-BE"/>
        </w:rPr>
        <w:t>april</w:t>
      </w:r>
      <w:r w:rsidR="00FA3107" w:rsidRPr="0069784D">
        <w:rPr>
          <w:lang w:val="nl-BE"/>
        </w:rPr>
        <w:t xml:space="preserve"> 1985).</w:t>
      </w:r>
    </w:p>
    <w:p w14:paraId="0C12BC59" w14:textId="707982F3" w:rsidR="00C47CC8" w:rsidRPr="00972BEC" w:rsidRDefault="002D208A" w:rsidP="009C15CF">
      <w:pPr>
        <w:jc w:val="both"/>
        <w:rPr>
          <w:lang w:val="nl-BE"/>
        </w:rPr>
      </w:pPr>
      <w:r w:rsidRPr="0069784D">
        <w:rPr>
          <w:lang w:val="nl-BE"/>
        </w:rPr>
        <w:lastRenderedPageBreak/>
        <w:t xml:space="preserve">Het Brusselse hof van beroep stelt dan weer het volgende: “Het begrip ‘ontucht’ verwijst naar buitensporige, ja zelfs een verstoring van de zeden, sensuele of seksuele lusten. De inhoud van dit begrip is aan evolutie onderhevig en dient vastgelegd te worden aan de hand van door de wet beschermde waarden inzake de publieke moraal, zoals ze ervaren worden door het collectieve bewustzijn op een gegeven plaats en tijdstip </w:t>
      </w:r>
      <w:r w:rsidRPr="0069784D">
        <w:rPr>
          <w:i/>
          <w:iCs/>
          <w:lang w:val="nl-BE"/>
        </w:rPr>
        <w:t>(vert</w:t>
      </w:r>
      <w:r w:rsidR="00172E85" w:rsidRPr="0069784D">
        <w:rPr>
          <w:i/>
          <w:iCs/>
          <w:lang w:val="nl-BE"/>
        </w:rPr>
        <w:t>.</w:t>
      </w:r>
      <w:r w:rsidRPr="0069784D">
        <w:rPr>
          <w:i/>
          <w:iCs/>
          <w:lang w:val="nl-BE"/>
        </w:rPr>
        <w:t>)</w:t>
      </w:r>
      <w:r w:rsidR="00C47CC8" w:rsidRPr="0069784D">
        <w:rPr>
          <w:lang w:val="nl-BE"/>
        </w:rPr>
        <w:t xml:space="preserve"> </w:t>
      </w:r>
      <w:r w:rsidRPr="0069784D">
        <w:rPr>
          <w:lang w:val="nl-BE"/>
        </w:rPr>
        <w:t xml:space="preserve">- </w:t>
      </w:r>
      <w:r w:rsidR="00C47CC8" w:rsidRPr="0069784D">
        <w:rPr>
          <w:lang w:val="nl-BE"/>
        </w:rPr>
        <w:t>Bru</w:t>
      </w:r>
      <w:r w:rsidRPr="0069784D">
        <w:rPr>
          <w:lang w:val="nl-BE"/>
        </w:rPr>
        <w:t>ssel</w:t>
      </w:r>
      <w:r w:rsidR="00C47CC8" w:rsidRPr="0069784D">
        <w:rPr>
          <w:lang w:val="nl-BE"/>
        </w:rPr>
        <w:t>, 27</w:t>
      </w:r>
      <w:r w:rsidRPr="0069784D">
        <w:rPr>
          <w:lang w:val="nl-BE"/>
        </w:rPr>
        <w:t xml:space="preserve"> november 2003</w:t>
      </w:r>
      <w:r w:rsidR="00C47CC8" w:rsidRPr="0069784D">
        <w:rPr>
          <w:lang w:val="nl-BE"/>
        </w:rPr>
        <w:t>).</w:t>
      </w:r>
      <w:r w:rsidR="001416D3" w:rsidRPr="0069784D">
        <w:rPr>
          <w:lang w:val="nl-BE"/>
        </w:rPr>
        <w:t xml:space="preserve"> </w:t>
      </w:r>
      <w:r w:rsidRPr="0069784D">
        <w:rPr>
          <w:lang w:val="nl-BE"/>
        </w:rPr>
        <w:t>Het Hof van Cassatie treedt deze definitie bij</w:t>
      </w:r>
      <w:r w:rsidR="001416D3" w:rsidRPr="0069784D">
        <w:rPr>
          <w:lang w:val="nl-BE"/>
        </w:rPr>
        <w:t xml:space="preserve">: </w:t>
      </w:r>
      <w:r w:rsidR="00FA5A6B" w:rsidRPr="0069784D">
        <w:rPr>
          <w:lang w:val="nl-BE"/>
        </w:rPr>
        <w:t>“</w:t>
      </w:r>
      <w:r w:rsidR="00FA5A6B" w:rsidRPr="0069784D">
        <w:rPr>
          <w:rFonts w:cstheme="minorHAnsi"/>
          <w:i/>
          <w:iCs/>
          <w:color w:val="000000"/>
          <w:shd w:val="clear" w:color="auto" w:fill="FFFFFF"/>
          <w:lang w:val="nl-BE"/>
        </w:rPr>
        <w:t>Het begrip ontucht omvat gedragingen van grove zinnelijkheid en onzedelijkheid in de brede zin die maatschappelijk als buitensporig worden beschouwd, onder meer rekening houdende met de leeftijd van de betrokken minderjarige, terwijl het begrip bederf slaat op het gevolg dat dergelijke handelingen hebben of kunnen hebben voor de seksualiteitsbeleving van de minderjarige.”</w:t>
      </w:r>
      <w:r w:rsidR="00FA5A6B" w:rsidRPr="0069784D">
        <w:rPr>
          <w:lang w:val="nl-BE"/>
        </w:rPr>
        <w:t xml:space="preserve"> </w:t>
      </w:r>
      <w:r w:rsidR="001416D3" w:rsidRPr="0069784D">
        <w:rPr>
          <w:lang w:val="nl-BE"/>
        </w:rPr>
        <w:t xml:space="preserve">(Cass. 17 </w:t>
      </w:r>
      <w:r w:rsidR="001416D3" w:rsidRPr="00972BEC">
        <w:rPr>
          <w:lang w:val="nl-BE"/>
        </w:rPr>
        <w:t>jan</w:t>
      </w:r>
      <w:r w:rsidR="00FA5A6B" w:rsidRPr="00972BEC">
        <w:rPr>
          <w:lang w:val="nl-BE"/>
        </w:rPr>
        <w:t>uari</w:t>
      </w:r>
      <w:r w:rsidR="001416D3" w:rsidRPr="00972BEC">
        <w:rPr>
          <w:lang w:val="nl-BE"/>
        </w:rPr>
        <w:t xml:space="preserve"> 2012</w:t>
      </w:r>
      <w:r w:rsidR="00FA5A6B" w:rsidRPr="00972BEC">
        <w:rPr>
          <w:lang w:val="nl-BE"/>
        </w:rPr>
        <w:t>).</w:t>
      </w:r>
    </w:p>
    <w:p w14:paraId="3D2748B0" w14:textId="217CCA65" w:rsidR="00C47CC8" w:rsidRPr="00972BEC" w:rsidRDefault="00FA5A6B" w:rsidP="009C15CF">
      <w:pPr>
        <w:jc w:val="both"/>
        <w:rPr>
          <w:lang w:val="nl-BE"/>
        </w:rPr>
      </w:pPr>
      <w:r w:rsidRPr="00972BEC">
        <w:rPr>
          <w:lang w:val="nl-BE"/>
        </w:rPr>
        <w:t xml:space="preserve">Prostitutie is </w:t>
      </w:r>
      <w:r w:rsidR="001438C2" w:rsidRPr="00972BEC">
        <w:rPr>
          <w:lang w:val="nl-BE"/>
        </w:rPr>
        <w:t xml:space="preserve">een begrip dat </w:t>
      </w:r>
      <w:r w:rsidR="00FC6D7D" w:rsidRPr="00972BEC">
        <w:rPr>
          <w:lang w:val="nl-BE"/>
        </w:rPr>
        <w:t xml:space="preserve">niet </w:t>
      </w:r>
      <w:r w:rsidRPr="00972BEC">
        <w:rPr>
          <w:lang w:val="nl-BE"/>
        </w:rPr>
        <w:t xml:space="preserve">aan evolutie onderhevig zelfs al wordt ze beschouwd als een vorm van bezoldigde ontucht </w:t>
      </w:r>
      <w:r w:rsidR="00C47CC8" w:rsidRPr="00972BEC">
        <w:rPr>
          <w:lang w:val="nl-BE"/>
        </w:rPr>
        <w:t>(Cass. 26 m</w:t>
      </w:r>
      <w:r w:rsidRPr="00972BEC">
        <w:rPr>
          <w:lang w:val="nl-BE"/>
        </w:rPr>
        <w:t>e</w:t>
      </w:r>
      <w:r w:rsidR="00C47CC8" w:rsidRPr="00972BEC">
        <w:rPr>
          <w:lang w:val="nl-BE"/>
        </w:rPr>
        <w:t xml:space="preserve">i 1944, Pas. 1944, I, 358; </w:t>
      </w:r>
      <w:r w:rsidRPr="00972BEC">
        <w:rPr>
          <w:lang w:val="nl-BE"/>
        </w:rPr>
        <w:t>Luik</w:t>
      </w:r>
      <w:r w:rsidR="00C47CC8" w:rsidRPr="00972BEC">
        <w:rPr>
          <w:lang w:val="nl-BE"/>
        </w:rPr>
        <w:t>, 20 m</w:t>
      </w:r>
      <w:r w:rsidRPr="00972BEC">
        <w:rPr>
          <w:lang w:val="nl-BE"/>
        </w:rPr>
        <w:t>e</w:t>
      </w:r>
      <w:r w:rsidR="00C47CC8" w:rsidRPr="00972BEC">
        <w:rPr>
          <w:lang w:val="nl-BE"/>
        </w:rPr>
        <w:t>i 1987, JLMB, 1986, 666 e</w:t>
      </w:r>
      <w:r w:rsidRPr="00972BEC">
        <w:rPr>
          <w:lang w:val="nl-BE"/>
        </w:rPr>
        <w:t>n andere referenties, zie ook de memorie van toelichting, pagina</w:t>
      </w:r>
      <w:r w:rsidR="00C47CC8" w:rsidRPr="00972BEC">
        <w:rPr>
          <w:lang w:val="nl-BE"/>
        </w:rPr>
        <w:t xml:space="preserve"> 68</w:t>
      </w:r>
      <w:r w:rsidRPr="00972BEC">
        <w:rPr>
          <w:lang w:val="nl-BE"/>
        </w:rPr>
        <w:t>).</w:t>
      </w:r>
    </w:p>
    <w:p w14:paraId="04E317DC" w14:textId="4B6D492D" w:rsidR="00C47CC8" w:rsidRPr="0069784D" w:rsidRDefault="00FC6D7D" w:rsidP="009C15CF">
      <w:pPr>
        <w:jc w:val="both"/>
        <w:rPr>
          <w:lang w:val="nl-BE"/>
        </w:rPr>
      </w:pPr>
      <w:r w:rsidRPr="00972BEC">
        <w:rPr>
          <w:lang w:val="nl-BE"/>
        </w:rPr>
        <w:t xml:space="preserve">Volgens </w:t>
      </w:r>
      <w:r w:rsidR="00FA5A6B" w:rsidRPr="00972BEC">
        <w:rPr>
          <w:lang w:val="nl-BE"/>
        </w:rPr>
        <w:t xml:space="preserve">de rechtspraak worden volgende etablissementen, mits naleving van een aantal voorwaarden, niet </w:t>
      </w:r>
      <w:r w:rsidR="00FA5A6B" w:rsidRPr="0069784D">
        <w:rPr>
          <w:lang w:val="nl-BE"/>
        </w:rPr>
        <w:t>langer als plaatsen van ontucht beschouwd</w:t>
      </w:r>
      <w:r w:rsidR="00C47CC8" w:rsidRPr="0069784D">
        <w:rPr>
          <w:lang w:val="nl-BE"/>
        </w:rPr>
        <w:t xml:space="preserve">: </w:t>
      </w:r>
    </w:p>
    <w:p w14:paraId="69602898" w14:textId="00A1A981" w:rsidR="00C47CC8" w:rsidRPr="0069784D" w:rsidRDefault="00BF05AF" w:rsidP="009C15CF">
      <w:pPr>
        <w:jc w:val="both"/>
        <w:rPr>
          <w:lang w:val="nl-BE"/>
        </w:rPr>
      </w:pPr>
      <w:r w:rsidRPr="0069784D">
        <w:rPr>
          <w:lang w:val="nl-BE"/>
        </w:rPr>
        <w:t>- Clubs voor partnerruil</w:t>
      </w:r>
      <w:r w:rsidR="00817777" w:rsidRPr="0069784D">
        <w:rPr>
          <w:lang w:val="nl-BE"/>
        </w:rPr>
        <w:t>,</w:t>
      </w:r>
      <w:r w:rsidRPr="0069784D">
        <w:rPr>
          <w:lang w:val="nl-BE"/>
        </w:rPr>
        <w:t xml:space="preserve"> aangezien de personen die deze bezoeken instemmende volwassenen zijn, op voorwaarde dat de handelingen verlopen op een dusdanige manier dat degenen die, op individuele basis, niet deel wensen te nemen, beschermd worden, en dat andere personen, meer b</w:t>
      </w:r>
      <w:r w:rsidR="00C35315" w:rsidRPr="0069784D">
        <w:rPr>
          <w:lang w:val="nl-BE"/>
        </w:rPr>
        <w:t>e</w:t>
      </w:r>
      <w:r w:rsidRPr="0069784D">
        <w:rPr>
          <w:lang w:val="nl-BE"/>
        </w:rPr>
        <w:t>paald minderjarigen, niet op een rechtsgeldige manier met deelname kunnen instemmen</w:t>
      </w:r>
      <w:r w:rsidR="00C47CC8" w:rsidRPr="0069784D">
        <w:rPr>
          <w:lang w:val="nl-BE"/>
        </w:rPr>
        <w:t xml:space="preserve"> (Bru</w:t>
      </w:r>
      <w:r w:rsidR="00FA5A6B" w:rsidRPr="0069784D">
        <w:rPr>
          <w:lang w:val="nl-BE"/>
        </w:rPr>
        <w:t>ssel, 27 november 2003</w:t>
      </w:r>
      <w:r w:rsidRPr="0069784D">
        <w:rPr>
          <w:lang w:val="nl-BE"/>
        </w:rPr>
        <w:t xml:space="preserve"> </w:t>
      </w:r>
      <w:r w:rsidRPr="0069784D">
        <w:rPr>
          <w:i/>
          <w:iCs/>
          <w:lang w:val="nl-BE"/>
        </w:rPr>
        <w:t>(vert</w:t>
      </w:r>
      <w:r w:rsidR="00172E85" w:rsidRPr="0069784D">
        <w:rPr>
          <w:i/>
          <w:iCs/>
          <w:lang w:val="nl-BE"/>
        </w:rPr>
        <w:t>.</w:t>
      </w:r>
      <w:r w:rsidRPr="0069784D">
        <w:rPr>
          <w:i/>
          <w:iCs/>
          <w:lang w:val="nl-BE"/>
        </w:rPr>
        <w:t>)</w:t>
      </w:r>
      <w:r w:rsidR="00C47CC8" w:rsidRPr="0069784D">
        <w:rPr>
          <w:lang w:val="nl-BE"/>
        </w:rPr>
        <w:t>).</w:t>
      </w:r>
    </w:p>
    <w:p w14:paraId="29024ADA" w14:textId="54F06BD7" w:rsidR="00C47CC8" w:rsidRPr="0069784D" w:rsidRDefault="00BF05AF" w:rsidP="009C15CF">
      <w:pPr>
        <w:jc w:val="both"/>
        <w:rPr>
          <w:lang w:val="nl-BE"/>
        </w:rPr>
      </w:pPr>
      <w:r w:rsidRPr="0069784D">
        <w:rPr>
          <w:lang w:val="nl-BE"/>
        </w:rPr>
        <w:t>- P</w:t>
      </w:r>
      <w:r w:rsidR="00C47CC8" w:rsidRPr="0069784D">
        <w:rPr>
          <w:lang w:val="nl-BE"/>
        </w:rPr>
        <w:t xml:space="preserve">eepshows, </w:t>
      </w:r>
      <w:r w:rsidR="00C35315" w:rsidRPr="0069784D">
        <w:rPr>
          <w:lang w:val="nl-BE"/>
        </w:rPr>
        <w:t xml:space="preserve">voor zover de uitbater geen enkele vorm van externe reclame maakt, op geen enkele manier technieken inzet om klanten te werven, en de leeftijd van de klanten op een strikte en permanente manier gecontroleerd wordt </w:t>
      </w:r>
      <w:r w:rsidR="00C35315" w:rsidRPr="0069784D">
        <w:rPr>
          <w:i/>
          <w:iCs/>
          <w:lang w:val="nl-BE"/>
        </w:rPr>
        <w:t>(</w:t>
      </w:r>
      <w:r w:rsidRPr="0069784D">
        <w:rPr>
          <w:i/>
          <w:iCs/>
          <w:lang w:val="nl-BE"/>
        </w:rPr>
        <w:t>vert</w:t>
      </w:r>
      <w:r w:rsidR="00172E85" w:rsidRPr="0069784D">
        <w:rPr>
          <w:i/>
          <w:iCs/>
          <w:lang w:val="nl-BE"/>
        </w:rPr>
        <w:t>.</w:t>
      </w:r>
      <w:r w:rsidRPr="0069784D">
        <w:rPr>
          <w:i/>
          <w:iCs/>
          <w:lang w:val="nl-BE"/>
        </w:rPr>
        <w:t>)</w:t>
      </w:r>
      <w:r w:rsidR="00FA5A6B" w:rsidRPr="0069784D">
        <w:rPr>
          <w:lang w:val="nl-BE"/>
        </w:rPr>
        <w:t>.</w:t>
      </w:r>
    </w:p>
    <w:p w14:paraId="3C398973" w14:textId="26812D74" w:rsidR="000B0421" w:rsidRPr="0069784D" w:rsidRDefault="000B0421" w:rsidP="009C15CF">
      <w:pPr>
        <w:jc w:val="both"/>
        <w:rPr>
          <w:lang w:val="nl-BE"/>
        </w:rPr>
      </w:pPr>
    </w:p>
    <w:p w14:paraId="4353B3FF" w14:textId="48FDC771" w:rsidR="00C35315" w:rsidRPr="0069784D" w:rsidRDefault="00C35315" w:rsidP="009C15CF">
      <w:pPr>
        <w:spacing w:after="0"/>
        <w:jc w:val="both"/>
        <w:rPr>
          <w:sz w:val="28"/>
          <w:szCs w:val="28"/>
          <w:lang w:val="nl-BE"/>
        </w:rPr>
      </w:pPr>
      <w:bookmarkStart w:id="5" w:name="_Toc104134029"/>
      <w:r w:rsidRPr="0069784D">
        <w:rPr>
          <w:rFonts w:cstheme="minorHAnsi"/>
          <w:sz w:val="28"/>
          <w:szCs w:val="28"/>
          <w:lang w:val="nl-BE"/>
        </w:rPr>
        <w:t xml:space="preserve">Artikelen </w:t>
      </w:r>
      <w:r w:rsidR="00C23155" w:rsidRPr="0069784D">
        <w:rPr>
          <w:rFonts w:cstheme="minorHAnsi"/>
          <w:sz w:val="28"/>
          <w:szCs w:val="28"/>
          <w:lang w:val="nl-BE"/>
        </w:rPr>
        <w:t>417/25 e</w:t>
      </w:r>
      <w:r w:rsidRPr="0069784D">
        <w:rPr>
          <w:rFonts w:cstheme="minorHAnsi"/>
          <w:sz w:val="28"/>
          <w:szCs w:val="28"/>
          <w:lang w:val="nl-BE"/>
        </w:rPr>
        <w:t>n</w:t>
      </w:r>
      <w:r w:rsidR="00C23155" w:rsidRPr="0069784D">
        <w:rPr>
          <w:rFonts w:cstheme="minorHAnsi"/>
          <w:sz w:val="28"/>
          <w:szCs w:val="28"/>
          <w:lang w:val="nl-BE"/>
        </w:rPr>
        <w:t xml:space="preserve"> 417/26</w:t>
      </w:r>
      <w:bookmarkEnd w:id="5"/>
      <w:r w:rsidR="00172E85" w:rsidRPr="0069784D">
        <w:rPr>
          <w:rFonts w:cstheme="minorHAnsi"/>
          <w:sz w:val="28"/>
          <w:szCs w:val="28"/>
          <w:lang w:val="nl-BE"/>
        </w:rPr>
        <w:t xml:space="preserve"> - </w:t>
      </w:r>
      <w:r w:rsidRPr="0069784D">
        <w:rPr>
          <w:sz w:val="28"/>
          <w:szCs w:val="28"/>
          <w:lang w:val="nl-BE"/>
        </w:rPr>
        <w:t>B</w:t>
      </w:r>
      <w:r w:rsidRPr="0069784D">
        <w:rPr>
          <w:color w:val="000000"/>
          <w:sz w:val="28"/>
          <w:szCs w:val="28"/>
          <w:lang w:val="nl-BE"/>
        </w:rPr>
        <w:t>ewegen van een minderjarige tot het plegen van ontucht of prostitutie</w:t>
      </w:r>
    </w:p>
    <w:p w14:paraId="065ACC75" w14:textId="7D2D2064" w:rsidR="000B0421" w:rsidRPr="0069784D" w:rsidRDefault="000B0421" w:rsidP="009C15CF">
      <w:pPr>
        <w:pStyle w:val="Heading3"/>
        <w:jc w:val="both"/>
        <w:rPr>
          <w:rFonts w:asciiTheme="minorHAnsi" w:hAnsiTheme="minorHAnsi" w:cstheme="minorHAnsi"/>
          <w:color w:val="auto"/>
          <w:sz w:val="28"/>
          <w:szCs w:val="28"/>
          <w:lang w:val="nl-BE"/>
        </w:rPr>
      </w:pPr>
      <w:r w:rsidRPr="0069784D">
        <w:rPr>
          <w:rFonts w:asciiTheme="minorHAnsi" w:hAnsiTheme="minorHAnsi" w:cstheme="minorHAnsi"/>
          <w:color w:val="auto"/>
          <w:sz w:val="28"/>
          <w:szCs w:val="28"/>
          <w:lang w:val="nl-BE"/>
        </w:rPr>
        <w:t xml:space="preserve"> </w:t>
      </w:r>
    </w:p>
    <w:p w14:paraId="64626983" w14:textId="2176D438" w:rsidR="000B0421" w:rsidRPr="0069784D" w:rsidRDefault="00C35315" w:rsidP="009C15CF">
      <w:pPr>
        <w:jc w:val="both"/>
        <w:rPr>
          <w:lang w:val="nl-BE"/>
        </w:rPr>
      </w:pPr>
      <w:r w:rsidRPr="0069784D">
        <w:rPr>
          <w:lang w:val="nl-BE"/>
        </w:rPr>
        <w:t xml:space="preserve">Deze nieuwe artikelen vervangen het </w:t>
      </w:r>
      <w:r w:rsidRPr="0069784D">
        <w:rPr>
          <w:b/>
          <w:bCs/>
          <w:lang w:val="nl-BE"/>
        </w:rPr>
        <w:t>vroegere artikel 379</w:t>
      </w:r>
      <w:r w:rsidRPr="0069784D">
        <w:rPr>
          <w:lang w:val="nl-BE"/>
        </w:rPr>
        <w:t xml:space="preserve"> van het Strafwetboek. </w:t>
      </w:r>
    </w:p>
    <w:p w14:paraId="40EA6E6C" w14:textId="38924AD1" w:rsidR="00846D1D" w:rsidRPr="00972BEC" w:rsidRDefault="0042525B" w:rsidP="009C15CF">
      <w:pPr>
        <w:jc w:val="both"/>
        <w:rPr>
          <w:lang w:val="nl-BE"/>
        </w:rPr>
      </w:pPr>
      <w:r w:rsidRPr="0069784D">
        <w:rPr>
          <w:lang w:val="nl-BE"/>
        </w:rPr>
        <w:t xml:space="preserve">De formulering </w:t>
      </w:r>
      <w:r w:rsidRPr="00972BEC">
        <w:rPr>
          <w:lang w:val="nl-BE"/>
        </w:rPr>
        <w:t>verschilt</w:t>
      </w:r>
      <w:r w:rsidR="00C065B4" w:rsidRPr="00972BEC">
        <w:rPr>
          <w:lang w:val="nl-BE"/>
        </w:rPr>
        <w:t xml:space="preserve">, maar de strafbaarstelling is dezelfde als deze uit artikel 379, zij het dat het aanzetten tot </w:t>
      </w:r>
      <w:r w:rsidR="00882DCF" w:rsidRPr="00972BEC">
        <w:rPr>
          <w:lang w:val="nl-BE"/>
        </w:rPr>
        <w:t xml:space="preserve">bederf </w:t>
      </w:r>
      <w:r w:rsidR="00C065B4" w:rsidRPr="00972BEC">
        <w:rPr>
          <w:lang w:val="nl-BE"/>
        </w:rPr>
        <w:t xml:space="preserve">geschrapt werd. De grootste verandering heeft </w:t>
      </w:r>
      <w:r w:rsidR="00882DCF" w:rsidRPr="00972BEC">
        <w:rPr>
          <w:lang w:val="nl-BE"/>
        </w:rPr>
        <w:t xml:space="preserve">betrekking op </w:t>
      </w:r>
      <w:r w:rsidR="00C065B4" w:rsidRPr="00972BEC">
        <w:rPr>
          <w:lang w:val="nl-BE"/>
        </w:rPr>
        <w:t xml:space="preserve">de strafmaat. </w:t>
      </w:r>
    </w:p>
    <w:p w14:paraId="19A1BA5E" w14:textId="6A5DC7E3" w:rsidR="000B0421" w:rsidRPr="00972BEC" w:rsidRDefault="00C065B4" w:rsidP="009C15CF">
      <w:pPr>
        <w:jc w:val="both"/>
        <w:rPr>
          <w:lang w:val="nl-BE"/>
        </w:rPr>
      </w:pPr>
      <w:r w:rsidRPr="00972BEC">
        <w:rPr>
          <w:lang w:val="nl-BE"/>
        </w:rPr>
        <w:t xml:space="preserve">Voor misdrijven ten aanzien van minderjarigen ouder dan 16 jaar wordt in vergelijking met artikel 380 §4 de geldboete teruggeschroefd van </w:t>
      </w:r>
      <w:r w:rsidR="000B0421" w:rsidRPr="00972BEC">
        <w:rPr>
          <w:lang w:val="nl-BE"/>
        </w:rPr>
        <w:t>1.000/100.000 euro</w:t>
      </w:r>
      <w:r w:rsidRPr="00972BEC">
        <w:rPr>
          <w:lang w:val="nl-BE"/>
        </w:rPr>
        <w:t xml:space="preserve"> naar</w:t>
      </w:r>
      <w:r w:rsidR="000B0421" w:rsidRPr="00972BEC">
        <w:rPr>
          <w:lang w:val="nl-BE"/>
        </w:rPr>
        <w:t xml:space="preserve"> 500/50.000 euro.</w:t>
      </w:r>
      <w:r w:rsidR="00882DCF" w:rsidRPr="00972BEC">
        <w:rPr>
          <w:lang w:val="nl-BE"/>
        </w:rPr>
        <w:t xml:space="preserve"> Een uitzondering dus op artikel 417/35 – zie verder.</w:t>
      </w:r>
    </w:p>
    <w:p w14:paraId="6C775AF3" w14:textId="6EF73CA1" w:rsidR="000B0421" w:rsidRPr="00972BEC" w:rsidRDefault="00C065B4" w:rsidP="009C15CF">
      <w:pPr>
        <w:jc w:val="both"/>
        <w:rPr>
          <w:lang w:val="nl-BE"/>
        </w:rPr>
      </w:pPr>
      <w:r w:rsidRPr="00972BEC">
        <w:rPr>
          <w:lang w:val="nl-BE"/>
        </w:rPr>
        <w:t>Artikel</w:t>
      </w:r>
      <w:r w:rsidR="000B0421" w:rsidRPr="00972BEC">
        <w:rPr>
          <w:lang w:val="nl-BE"/>
        </w:rPr>
        <w:t xml:space="preserve"> 417/25 </w:t>
      </w:r>
      <w:r w:rsidRPr="00972BEC">
        <w:rPr>
          <w:lang w:val="nl-BE"/>
        </w:rPr>
        <w:t xml:space="preserve">heeft betrekking op minderjarigen die de volle leeftijd van </w:t>
      </w:r>
      <w:r w:rsidR="000B0421" w:rsidRPr="00972BEC">
        <w:rPr>
          <w:lang w:val="nl-BE"/>
        </w:rPr>
        <w:t xml:space="preserve">16 </w:t>
      </w:r>
      <w:r w:rsidRPr="00972BEC">
        <w:rPr>
          <w:lang w:val="nl-BE"/>
        </w:rPr>
        <w:t xml:space="preserve">jaar bereikt hebben. </w:t>
      </w:r>
      <w:r w:rsidR="00882DCF" w:rsidRPr="00972BEC">
        <w:rPr>
          <w:lang w:val="nl-BE"/>
        </w:rPr>
        <w:t xml:space="preserve">Inbreuken op dit artikel </w:t>
      </w:r>
      <w:r w:rsidRPr="00972BEC">
        <w:rPr>
          <w:lang w:val="nl-BE"/>
        </w:rPr>
        <w:t>worden bestraft met</w:t>
      </w:r>
      <w:r w:rsidRPr="001B528F">
        <w:rPr>
          <w:lang w:val="nl-BE"/>
        </w:rPr>
        <w:t xml:space="preserve"> </w:t>
      </w:r>
      <w:r w:rsidRPr="00972BEC">
        <w:rPr>
          <w:lang w:val="nl-BE"/>
        </w:rPr>
        <w:t xml:space="preserve">opsluiting van </w:t>
      </w:r>
      <w:r w:rsidR="000B0421" w:rsidRPr="00972BEC">
        <w:rPr>
          <w:lang w:val="nl-BE"/>
        </w:rPr>
        <w:t xml:space="preserve">10 </w:t>
      </w:r>
      <w:r w:rsidRPr="00972BEC">
        <w:rPr>
          <w:lang w:val="nl-BE"/>
        </w:rPr>
        <w:t>tot</w:t>
      </w:r>
      <w:r w:rsidR="000B0421" w:rsidRPr="00972BEC">
        <w:rPr>
          <w:lang w:val="nl-BE"/>
        </w:rPr>
        <w:t xml:space="preserve"> 15 </w:t>
      </w:r>
      <w:r w:rsidRPr="00972BEC">
        <w:rPr>
          <w:lang w:val="nl-BE"/>
        </w:rPr>
        <w:t xml:space="preserve">jaar, terwijl dit voorheen 5 tot 10 jaar was. </w:t>
      </w:r>
    </w:p>
    <w:p w14:paraId="39E8FBF6" w14:textId="11681EE4" w:rsidR="000B0421" w:rsidRPr="00972BEC" w:rsidRDefault="00DC46CF" w:rsidP="009C15CF">
      <w:pPr>
        <w:jc w:val="both"/>
        <w:rPr>
          <w:lang w:val="nl-BE"/>
        </w:rPr>
      </w:pPr>
      <w:r w:rsidRPr="0069784D">
        <w:rPr>
          <w:lang w:val="nl-BE"/>
        </w:rPr>
        <w:t>Artikel</w:t>
      </w:r>
      <w:r w:rsidR="000B0421" w:rsidRPr="0069784D">
        <w:rPr>
          <w:lang w:val="nl-BE"/>
        </w:rPr>
        <w:t xml:space="preserve"> 417/26 </w:t>
      </w:r>
      <w:r w:rsidRPr="0069784D">
        <w:rPr>
          <w:lang w:val="nl-BE"/>
        </w:rPr>
        <w:t xml:space="preserve">heeft betrekking op hetzelfde misdrijf ten nadele van een minderjarige jonger dan 16 jaar (geen onderscheid meer in </w:t>
      </w:r>
      <w:r w:rsidRPr="00972BEC">
        <w:rPr>
          <w:lang w:val="nl-BE"/>
        </w:rPr>
        <w:t xml:space="preserve">het nieuwe Strafwetboek tussen minderjarigen jonger dan 16 en </w:t>
      </w:r>
      <w:r w:rsidRPr="00972BEC">
        <w:rPr>
          <w:lang w:val="nl-BE"/>
        </w:rPr>
        <w:lastRenderedPageBreak/>
        <w:t xml:space="preserve">jonger dan 14 jaar) en </w:t>
      </w:r>
      <w:r w:rsidR="00882DCF" w:rsidRPr="00972BEC">
        <w:rPr>
          <w:lang w:val="nl-BE"/>
        </w:rPr>
        <w:t>voorziet in</w:t>
      </w:r>
      <w:r w:rsidRPr="00972BEC">
        <w:rPr>
          <w:lang w:val="nl-BE"/>
        </w:rPr>
        <w:t xml:space="preserve"> een opsluiting van 15 tot 20 jaar. Deze straf </w:t>
      </w:r>
      <w:r w:rsidR="00882DCF" w:rsidRPr="00972BEC">
        <w:rPr>
          <w:lang w:val="nl-BE"/>
        </w:rPr>
        <w:t xml:space="preserve">werd </w:t>
      </w:r>
      <w:r w:rsidRPr="00972BEC">
        <w:rPr>
          <w:lang w:val="nl-BE"/>
        </w:rPr>
        <w:t>reeds</w:t>
      </w:r>
      <w:r w:rsidR="00AC66BB">
        <w:rPr>
          <w:lang w:val="nl-BE"/>
        </w:rPr>
        <w:t xml:space="preserve"> </w:t>
      </w:r>
      <w:r w:rsidR="00882DCF" w:rsidRPr="00972BEC">
        <w:rPr>
          <w:lang w:val="nl-BE"/>
        </w:rPr>
        <w:t xml:space="preserve">voorgeschreven onder gelding van het oude </w:t>
      </w:r>
      <w:r w:rsidRPr="00972BEC">
        <w:rPr>
          <w:lang w:val="nl-BE"/>
        </w:rPr>
        <w:t>artikel 379 wanneer het ging om een minderjarige jonger dan 14 jaar</w:t>
      </w:r>
      <w:r w:rsidR="00882DCF" w:rsidRPr="00972BEC">
        <w:rPr>
          <w:lang w:val="nl-BE"/>
        </w:rPr>
        <w:t>. B</w:t>
      </w:r>
      <w:r w:rsidRPr="00972BEC">
        <w:rPr>
          <w:lang w:val="nl-BE"/>
        </w:rPr>
        <w:t xml:space="preserve">ij een minderjarige ouder dan 16 jaar </w:t>
      </w:r>
      <w:r w:rsidR="00882DCF" w:rsidRPr="00972BEC">
        <w:rPr>
          <w:lang w:val="nl-BE"/>
        </w:rPr>
        <w:t xml:space="preserve">betrof dit </w:t>
      </w:r>
      <w:r w:rsidRPr="00972BEC">
        <w:rPr>
          <w:lang w:val="nl-BE"/>
        </w:rPr>
        <w:t>een ops</w:t>
      </w:r>
      <w:r w:rsidR="002E545D" w:rsidRPr="00972BEC">
        <w:rPr>
          <w:lang w:val="nl-BE"/>
        </w:rPr>
        <w:t>l</w:t>
      </w:r>
      <w:r w:rsidRPr="00972BEC">
        <w:rPr>
          <w:lang w:val="nl-BE"/>
        </w:rPr>
        <w:t xml:space="preserve">uiting van 10 tot 15 jaar. </w:t>
      </w:r>
      <w:r w:rsidR="008648B5" w:rsidRPr="00972BEC">
        <w:rPr>
          <w:lang w:val="nl-BE"/>
        </w:rPr>
        <w:t>De nie</w:t>
      </w:r>
      <w:r w:rsidR="002E545D" w:rsidRPr="00972BEC">
        <w:rPr>
          <w:lang w:val="nl-BE"/>
        </w:rPr>
        <w:t>u</w:t>
      </w:r>
      <w:r w:rsidR="008648B5" w:rsidRPr="00972BEC">
        <w:rPr>
          <w:lang w:val="nl-BE"/>
        </w:rPr>
        <w:t xml:space="preserve">we tekst zorgt dus voor een verzwaring van de straf in geval van een minderjarig slachtoffer jonger dan 16 maar ouder dan 14 jaar. </w:t>
      </w:r>
    </w:p>
    <w:p w14:paraId="2A4253E5" w14:textId="22DBAFF6" w:rsidR="00A95FEE" w:rsidRPr="0069784D" w:rsidRDefault="00882DCF" w:rsidP="009C15CF">
      <w:pPr>
        <w:jc w:val="both"/>
        <w:rPr>
          <w:b/>
          <w:bCs/>
          <w:lang w:val="nl-BE"/>
        </w:rPr>
      </w:pPr>
      <w:r w:rsidRPr="00972BEC">
        <w:rPr>
          <w:b/>
          <w:bCs/>
          <w:lang w:val="nl-BE"/>
        </w:rPr>
        <w:t xml:space="preserve">Wat betreft </w:t>
      </w:r>
      <w:r w:rsidR="008648B5" w:rsidRPr="00972BEC">
        <w:rPr>
          <w:b/>
          <w:bCs/>
          <w:lang w:val="nl-BE"/>
        </w:rPr>
        <w:t>de</w:t>
      </w:r>
      <w:r w:rsidR="000B0421" w:rsidRPr="00972BEC">
        <w:rPr>
          <w:b/>
          <w:bCs/>
          <w:lang w:val="nl-BE"/>
        </w:rPr>
        <w:t xml:space="preserve"> </w:t>
      </w:r>
      <w:r w:rsidR="008648B5" w:rsidRPr="00972BEC">
        <w:rPr>
          <w:b/>
          <w:bCs/>
          <w:u w:val="single"/>
          <w:lang w:val="nl-BE"/>
        </w:rPr>
        <w:t>artikelen</w:t>
      </w:r>
      <w:r w:rsidR="000B0421" w:rsidRPr="00972BEC">
        <w:rPr>
          <w:b/>
          <w:bCs/>
          <w:u w:val="single"/>
          <w:lang w:val="nl-BE"/>
        </w:rPr>
        <w:t xml:space="preserve"> 417/27 </w:t>
      </w:r>
      <w:r w:rsidR="008648B5" w:rsidRPr="00972BEC">
        <w:rPr>
          <w:b/>
          <w:bCs/>
          <w:u w:val="single"/>
          <w:lang w:val="nl-BE"/>
        </w:rPr>
        <w:t>tot</w:t>
      </w:r>
      <w:r w:rsidR="000B0421" w:rsidRPr="00972BEC">
        <w:rPr>
          <w:b/>
          <w:bCs/>
          <w:u w:val="single"/>
          <w:lang w:val="nl-BE"/>
        </w:rPr>
        <w:t xml:space="preserve"> 417/36</w:t>
      </w:r>
      <w:r w:rsidR="000B0421" w:rsidRPr="00972BEC">
        <w:rPr>
          <w:b/>
          <w:bCs/>
          <w:lang w:val="nl-BE"/>
        </w:rPr>
        <w:t xml:space="preserve"> </w:t>
      </w:r>
      <w:r w:rsidR="008648B5" w:rsidRPr="00972BEC">
        <w:rPr>
          <w:b/>
          <w:bCs/>
          <w:lang w:val="nl-BE"/>
        </w:rPr>
        <w:t>blijven</w:t>
      </w:r>
      <w:r w:rsidR="00890FDC" w:rsidRPr="00972BEC">
        <w:rPr>
          <w:b/>
          <w:bCs/>
          <w:lang w:val="nl-BE"/>
        </w:rPr>
        <w:t xml:space="preserve"> </w:t>
      </w:r>
      <w:r w:rsidR="008648B5" w:rsidRPr="00972BEC">
        <w:rPr>
          <w:b/>
          <w:bCs/>
          <w:lang w:val="nl-BE"/>
        </w:rPr>
        <w:t>de strafbaarstellingen ongewijzigd, al worden ze wel anders geformuleerd. Er wordt ook een onderscheid gemaakt tussen de situatie</w:t>
      </w:r>
      <w:r w:rsidR="000B0421" w:rsidRPr="00972BEC">
        <w:rPr>
          <w:b/>
          <w:bCs/>
          <w:lang w:val="nl-BE"/>
        </w:rPr>
        <w:t xml:space="preserve"> </w:t>
      </w:r>
      <w:r w:rsidR="008648B5" w:rsidRPr="00972BEC">
        <w:rPr>
          <w:b/>
          <w:bCs/>
          <w:lang w:val="nl-BE"/>
        </w:rPr>
        <w:t>van minderjarigen ouder of jonger dan 16 jaar. De straffen zijn i</w:t>
      </w:r>
      <w:r w:rsidR="008648B5" w:rsidRPr="00972BEC">
        <w:rPr>
          <w:b/>
          <w:bCs/>
          <w:u w:val="single"/>
          <w:lang w:val="nl-BE"/>
        </w:rPr>
        <w:t>dentiek</w:t>
      </w:r>
      <w:r w:rsidR="008648B5" w:rsidRPr="00972BEC">
        <w:rPr>
          <w:b/>
          <w:bCs/>
          <w:lang w:val="nl-BE"/>
        </w:rPr>
        <w:t xml:space="preserve"> in vergelijking met de vroegere artikelen, </w:t>
      </w:r>
      <w:r w:rsidRPr="00972BEC">
        <w:rPr>
          <w:b/>
          <w:bCs/>
          <w:lang w:val="nl-BE"/>
        </w:rPr>
        <w:t xml:space="preserve">met uitzondering van </w:t>
      </w:r>
      <w:r w:rsidR="008648B5" w:rsidRPr="00972BEC">
        <w:rPr>
          <w:b/>
          <w:bCs/>
          <w:lang w:val="nl-BE"/>
        </w:rPr>
        <w:t>bepaalde geldstraffen</w:t>
      </w:r>
      <w:r w:rsidR="008648B5" w:rsidRPr="0069784D">
        <w:rPr>
          <w:b/>
          <w:bCs/>
          <w:lang w:val="nl-BE"/>
        </w:rPr>
        <w:t xml:space="preserve">. </w:t>
      </w:r>
    </w:p>
    <w:p w14:paraId="4D993E2D" w14:textId="77777777" w:rsidR="00A76814" w:rsidRPr="0069784D" w:rsidRDefault="00A76814" w:rsidP="009C15CF">
      <w:pPr>
        <w:jc w:val="both"/>
        <w:rPr>
          <w:b/>
          <w:bCs/>
          <w:lang w:val="nl-BE"/>
        </w:rPr>
      </w:pPr>
    </w:p>
    <w:p w14:paraId="0AF310DA" w14:textId="69E4D3D0" w:rsidR="000B0421" w:rsidRPr="0069784D" w:rsidRDefault="008648B5" w:rsidP="009C15CF">
      <w:pPr>
        <w:pStyle w:val="Heading3"/>
        <w:jc w:val="both"/>
        <w:rPr>
          <w:rFonts w:asciiTheme="minorHAnsi" w:hAnsiTheme="minorHAnsi" w:cstheme="minorHAnsi"/>
          <w:color w:val="000000"/>
          <w:sz w:val="28"/>
          <w:szCs w:val="28"/>
          <w:lang w:val="nl-BE"/>
        </w:rPr>
      </w:pPr>
      <w:bookmarkStart w:id="6" w:name="_Toc104134030"/>
      <w:r w:rsidRPr="0069784D">
        <w:rPr>
          <w:rFonts w:asciiTheme="minorHAnsi" w:hAnsiTheme="minorHAnsi" w:cstheme="minorHAnsi"/>
          <w:color w:val="auto"/>
          <w:sz w:val="28"/>
          <w:szCs w:val="28"/>
          <w:lang w:val="nl-BE"/>
        </w:rPr>
        <w:t xml:space="preserve">Artikelen </w:t>
      </w:r>
      <w:r w:rsidR="000B0421" w:rsidRPr="0069784D">
        <w:rPr>
          <w:rFonts w:asciiTheme="minorHAnsi" w:hAnsiTheme="minorHAnsi" w:cstheme="minorHAnsi"/>
          <w:color w:val="auto"/>
          <w:sz w:val="28"/>
          <w:szCs w:val="28"/>
          <w:lang w:val="nl-BE"/>
        </w:rPr>
        <w:t>417/27 e</w:t>
      </w:r>
      <w:r w:rsidRPr="0069784D">
        <w:rPr>
          <w:rFonts w:asciiTheme="minorHAnsi" w:hAnsiTheme="minorHAnsi" w:cstheme="minorHAnsi"/>
          <w:color w:val="auto"/>
          <w:sz w:val="28"/>
          <w:szCs w:val="28"/>
          <w:lang w:val="nl-BE"/>
        </w:rPr>
        <w:t>n</w:t>
      </w:r>
      <w:r w:rsidR="000B0421" w:rsidRPr="0069784D">
        <w:rPr>
          <w:rFonts w:asciiTheme="minorHAnsi" w:hAnsiTheme="minorHAnsi" w:cstheme="minorHAnsi"/>
          <w:color w:val="auto"/>
          <w:sz w:val="28"/>
          <w:szCs w:val="28"/>
          <w:lang w:val="nl-BE"/>
        </w:rPr>
        <w:t xml:space="preserve"> 417/28</w:t>
      </w:r>
      <w:r w:rsidR="00172E85" w:rsidRPr="0069784D">
        <w:rPr>
          <w:rFonts w:asciiTheme="minorHAnsi" w:hAnsiTheme="minorHAnsi" w:cstheme="minorHAnsi"/>
          <w:color w:val="auto"/>
          <w:sz w:val="28"/>
          <w:szCs w:val="28"/>
          <w:lang w:val="nl-BE"/>
        </w:rPr>
        <w:t xml:space="preserve"> -</w:t>
      </w:r>
      <w:r w:rsidR="00C23155" w:rsidRPr="0069784D">
        <w:rPr>
          <w:rFonts w:asciiTheme="minorHAnsi" w:hAnsiTheme="minorHAnsi" w:cstheme="minorHAnsi"/>
          <w:color w:val="auto"/>
          <w:sz w:val="28"/>
          <w:szCs w:val="28"/>
          <w:lang w:val="nl-BE"/>
        </w:rPr>
        <w:t xml:space="preserve"> </w:t>
      </w:r>
      <w:bookmarkEnd w:id="6"/>
      <w:r w:rsidRPr="0069784D">
        <w:rPr>
          <w:rFonts w:asciiTheme="minorHAnsi" w:hAnsiTheme="minorHAnsi" w:cstheme="minorHAnsi"/>
          <w:color w:val="000000"/>
          <w:sz w:val="28"/>
          <w:szCs w:val="28"/>
          <w:lang w:val="nl-BE"/>
        </w:rPr>
        <w:t>Werven van een minderjarige voor ontucht of prostitutie</w:t>
      </w:r>
    </w:p>
    <w:p w14:paraId="36B875BA" w14:textId="77777777" w:rsidR="008648B5" w:rsidRPr="0069784D" w:rsidRDefault="008648B5" w:rsidP="009C15CF">
      <w:pPr>
        <w:rPr>
          <w:lang w:val="nl-BE"/>
        </w:rPr>
      </w:pPr>
    </w:p>
    <w:p w14:paraId="29DA4022" w14:textId="486C1724" w:rsidR="000B0421" w:rsidRPr="0069784D" w:rsidRDefault="00D612B6" w:rsidP="009C15CF">
      <w:pPr>
        <w:jc w:val="both"/>
        <w:rPr>
          <w:lang w:val="nl-BE"/>
        </w:rPr>
      </w:pPr>
      <w:r w:rsidRPr="0069784D">
        <w:rPr>
          <w:lang w:val="nl-BE"/>
        </w:rPr>
        <w:t>Artikel</w:t>
      </w:r>
      <w:r w:rsidR="000B0421" w:rsidRPr="0069784D">
        <w:rPr>
          <w:lang w:val="nl-BE"/>
        </w:rPr>
        <w:t xml:space="preserve"> 417/27 </w:t>
      </w:r>
      <w:r w:rsidRPr="0069784D">
        <w:rPr>
          <w:lang w:val="nl-BE"/>
        </w:rPr>
        <w:t xml:space="preserve">vervangt het </w:t>
      </w:r>
      <w:r w:rsidRPr="0069784D">
        <w:rPr>
          <w:b/>
          <w:bCs/>
          <w:lang w:val="nl-BE"/>
        </w:rPr>
        <w:t>vroegere artikel</w:t>
      </w:r>
      <w:r w:rsidR="000B0421" w:rsidRPr="0069784D">
        <w:rPr>
          <w:b/>
          <w:lang w:val="nl-BE"/>
        </w:rPr>
        <w:t xml:space="preserve"> 380</w:t>
      </w:r>
      <w:r w:rsidR="00A95FEE" w:rsidRPr="0069784D">
        <w:rPr>
          <w:b/>
          <w:lang w:val="nl-BE"/>
        </w:rPr>
        <w:t>,</w:t>
      </w:r>
      <w:r w:rsidR="000B0421" w:rsidRPr="0069784D">
        <w:rPr>
          <w:b/>
          <w:lang w:val="nl-BE"/>
        </w:rPr>
        <w:t xml:space="preserve"> §4</w:t>
      </w:r>
      <w:r w:rsidR="00A95FEE" w:rsidRPr="0069784D">
        <w:rPr>
          <w:b/>
          <w:lang w:val="nl-BE"/>
        </w:rPr>
        <w:t>,</w:t>
      </w:r>
      <w:r w:rsidR="000B0421" w:rsidRPr="0069784D">
        <w:rPr>
          <w:b/>
          <w:lang w:val="nl-BE"/>
        </w:rPr>
        <w:t xml:space="preserve"> 1.</w:t>
      </w:r>
    </w:p>
    <w:p w14:paraId="34DB1006" w14:textId="3F7A6F0D" w:rsidR="000B0421" w:rsidRPr="0069784D" w:rsidRDefault="00D612B6" w:rsidP="009C15CF">
      <w:pPr>
        <w:jc w:val="both"/>
        <w:rPr>
          <w:lang w:val="nl-BE"/>
        </w:rPr>
      </w:pPr>
      <w:r w:rsidRPr="0069784D">
        <w:rPr>
          <w:lang w:val="nl-BE"/>
        </w:rPr>
        <w:t>Artikel</w:t>
      </w:r>
      <w:r w:rsidR="000B0421" w:rsidRPr="0069784D">
        <w:rPr>
          <w:lang w:val="nl-BE"/>
        </w:rPr>
        <w:t xml:space="preserve"> 417/28 </w:t>
      </w:r>
      <w:r w:rsidRPr="0069784D">
        <w:rPr>
          <w:lang w:val="nl-BE"/>
        </w:rPr>
        <w:t xml:space="preserve">heeft betrekking op de werving van een minderjarige jonger dan de volle leeftijd van 16 jaar en vervangt </w:t>
      </w:r>
      <w:r w:rsidRPr="0069784D">
        <w:rPr>
          <w:b/>
          <w:bCs/>
          <w:lang w:val="nl-BE"/>
        </w:rPr>
        <w:t>het vroegere artikel</w:t>
      </w:r>
      <w:r w:rsidRPr="0069784D">
        <w:rPr>
          <w:lang w:val="nl-BE"/>
        </w:rPr>
        <w:t xml:space="preserve"> </w:t>
      </w:r>
      <w:r w:rsidR="000B0421" w:rsidRPr="0069784D">
        <w:rPr>
          <w:b/>
          <w:lang w:val="nl-BE"/>
        </w:rPr>
        <w:t>380</w:t>
      </w:r>
      <w:r w:rsidR="00A95FEE" w:rsidRPr="0069784D">
        <w:rPr>
          <w:b/>
          <w:lang w:val="nl-BE"/>
        </w:rPr>
        <w:t>,</w:t>
      </w:r>
      <w:r w:rsidR="000B0421" w:rsidRPr="0069784D">
        <w:rPr>
          <w:b/>
          <w:lang w:val="nl-BE"/>
        </w:rPr>
        <w:t xml:space="preserve"> §5</w:t>
      </w:r>
      <w:r w:rsidRPr="0069784D">
        <w:rPr>
          <w:lang w:val="nl-BE"/>
        </w:rPr>
        <w:t>, dat i</w:t>
      </w:r>
      <w:r w:rsidR="00890FDC" w:rsidRPr="0069784D">
        <w:rPr>
          <w:lang w:val="nl-BE"/>
        </w:rPr>
        <w:t>n</w:t>
      </w:r>
      <w:r w:rsidRPr="0069784D">
        <w:rPr>
          <w:lang w:val="nl-BE"/>
        </w:rPr>
        <w:t xml:space="preserve"> de vorige tekst in de vorm van een verzwarende omstandigheid geformuleerd was. </w:t>
      </w:r>
    </w:p>
    <w:p w14:paraId="53028E72" w14:textId="7DC9B0BC" w:rsidR="000B0421" w:rsidRPr="0069784D" w:rsidRDefault="00D612B6" w:rsidP="009C15CF">
      <w:pPr>
        <w:jc w:val="both"/>
        <w:rPr>
          <w:lang w:val="nl-BE"/>
        </w:rPr>
      </w:pPr>
      <w:r w:rsidRPr="0069784D">
        <w:rPr>
          <w:lang w:val="nl-BE"/>
        </w:rPr>
        <w:t xml:space="preserve">De </w:t>
      </w:r>
      <w:r w:rsidRPr="00972BEC">
        <w:rPr>
          <w:lang w:val="nl-BE"/>
        </w:rPr>
        <w:t>bewoording</w:t>
      </w:r>
      <w:r w:rsidR="003F3006" w:rsidRPr="00972BEC">
        <w:rPr>
          <w:lang w:val="nl-BE"/>
        </w:rPr>
        <w:t>en</w:t>
      </w:r>
      <w:r w:rsidRPr="00972BEC">
        <w:rPr>
          <w:lang w:val="nl-BE"/>
        </w:rPr>
        <w:t xml:space="preserve"> ‘met zijn toestemming’ uit artikel</w:t>
      </w:r>
      <w:r w:rsidR="00181773" w:rsidRPr="00972BEC">
        <w:rPr>
          <w:lang w:val="nl-BE"/>
        </w:rPr>
        <w:t xml:space="preserve"> 380, §4, </w:t>
      </w:r>
      <w:r w:rsidR="000B0421" w:rsidRPr="00972BEC">
        <w:rPr>
          <w:lang w:val="nl-BE"/>
        </w:rPr>
        <w:t xml:space="preserve">1° </w:t>
      </w:r>
      <w:r w:rsidRPr="00972BEC">
        <w:rPr>
          <w:lang w:val="nl-BE"/>
        </w:rPr>
        <w:t>word</w:t>
      </w:r>
      <w:r w:rsidR="003F3006" w:rsidRPr="00972BEC">
        <w:rPr>
          <w:lang w:val="nl-BE"/>
        </w:rPr>
        <w:t>en</w:t>
      </w:r>
      <w:r w:rsidRPr="00972BEC">
        <w:rPr>
          <w:lang w:val="nl-BE"/>
        </w:rPr>
        <w:t xml:space="preserve"> opgeheven, wat logisch is omdat overeenkomstig artikel </w:t>
      </w:r>
      <w:r w:rsidR="00181773" w:rsidRPr="00972BEC">
        <w:rPr>
          <w:lang w:val="nl-BE"/>
        </w:rPr>
        <w:t xml:space="preserve">417/6, §3, </w:t>
      </w:r>
      <w:r w:rsidR="000B0421" w:rsidRPr="00972BEC">
        <w:rPr>
          <w:lang w:val="nl-BE"/>
        </w:rPr>
        <w:t xml:space="preserve">3° </w:t>
      </w:r>
      <w:r w:rsidRPr="00972BEC">
        <w:rPr>
          <w:lang w:val="nl-BE"/>
        </w:rPr>
        <w:t>van de nieuwe wet een minderjarige ‘nie</w:t>
      </w:r>
      <w:r w:rsidRPr="0069784D">
        <w:rPr>
          <w:lang w:val="nl-BE"/>
        </w:rPr>
        <w:t xml:space="preserve">t geacht kan worden in te stemmen’ met handelingen van ontucht of prostitutie. </w:t>
      </w:r>
    </w:p>
    <w:p w14:paraId="241F8435" w14:textId="49D024E1" w:rsidR="000B0421" w:rsidRPr="0069784D" w:rsidRDefault="00D612B6" w:rsidP="009C15CF">
      <w:pPr>
        <w:jc w:val="both"/>
        <w:rPr>
          <w:lang w:val="nl-BE"/>
        </w:rPr>
      </w:pPr>
      <w:bookmarkStart w:id="7" w:name="_Hlk103852237"/>
      <w:r w:rsidRPr="0069784D">
        <w:rPr>
          <w:lang w:val="nl-BE"/>
        </w:rPr>
        <w:t>De zinssnede ‘</w:t>
      </w:r>
      <w:r w:rsidRPr="0069784D">
        <w:rPr>
          <w:color w:val="000000"/>
          <w:lang w:val="nl-BE"/>
        </w:rPr>
        <w:t>onverminderd de in artikel 433quinquies bedoelde gevallen’ die aan beide artikelen toegevoegd werd (zoals ook bij de artikelen</w:t>
      </w:r>
      <w:r w:rsidRPr="0069784D">
        <w:rPr>
          <w:lang w:val="nl-BE"/>
        </w:rPr>
        <w:t xml:space="preserve"> </w:t>
      </w:r>
      <w:bookmarkEnd w:id="7"/>
      <w:r w:rsidR="000B0421" w:rsidRPr="0069784D">
        <w:rPr>
          <w:lang w:val="nl-BE"/>
        </w:rPr>
        <w:t>417/33 e</w:t>
      </w:r>
      <w:r w:rsidR="002E545D" w:rsidRPr="0069784D">
        <w:rPr>
          <w:lang w:val="nl-BE"/>
        </w:rPr>
        <w:t>n</w:t>
      </w:r>
      <w:r w:rsidR="000B0421" w:rsidRPr="0069784D">
        <w:rPr>
          <w:lang w:val="nl-BE"/>
        </w:rPr>
        <w:t xml:space="preserve"> 417/34</w:t>
      </w:r>
      <w:bookmarkStart w:id="8" w:name="_Hlk103852261"/>
      <w:r w:rsidR="000B0421" w:rsidRPr="0069784D">
        <w:rPr>
          <w:lang w:val="nl-BE"/>
        </w:rPr>
        <w:t>)</w:t>
      </w:r>
      <w:r w:rsidR="002E545D" w:rsidRPr="0069784D">
        <w:rPr>
          <w:lang w:val="nl-BE"/>
        </w:rPr>
        <w:t xml:space="preserve">, </w:t>
      </w:r>
      <w:r w:rsidR="002E545D" w:rsidRPr="0069784D">
        <w:rPr>
          <w:i/>
          <w:iCs/>
          <w:lang w:val="nl-BE"/>
        </w:rPr>
        <w:t>“vestig</w:t>
      </w:r>
      <w:r w:rsidR="005B2F4C" w:rsidRPr="0069784D">
        <w:rPr>
          <w:i/>
          <w:iCs/>
          <w:lang w:val="nl-BE"/>
        </w:rPr>
        <w:t>t</w:t>
      </w:r>
      <w:r w:rsidR="002E545D" w:rsidRPr="0069784D">
        <w:rPr>
          <w:i/>
          <w:iCs/>
          <w:lang w:val="nl-BE"/>
        </w:rPr>
        <w:t xml:space="preserve"> echter de aandacht van diegene die kunnen vervolgen op het feit dat voorrang moet worden gegeven aan vervolging en een eventuele veroordeling op basis van mensenhandel, met name om de slachtoffers beter te beschermen en hun in voorkomend geval de status van slachtoffer van mensenhandel te verlenen.”</w:t>
      </w:r>
      <w:bookmarkEnd w:id="8"/>
      <w:r w:rsidR="002E545D" w:rsidRPr="0069784D">
        <w:rPr>
          <w:rStyle w:val="FootnoteReference"/>
          <w:lang w:val="nl-BE"/>
        </w:rPr>
        <w:footnoteReference w:customMarkFollows="1" w:id="63"/>
        <w:t>63</w:t>
      </w:r>
      <w:r w:rsidR="002E545D" w:rsidRPr="0069784D">
        <w:rPr>
          <w:lang w:val="nl-BE"/>
        </w:rPr>
        <w:t>.</w:t>
      </w:r>
    </w:p>
    <w:p w14:paraId="681FA218" w14:textId="77777777" w:rsidR="000B0421" w:rsidRPr="0069784D" w:rsidRDefault="000B0421" w:rsidP="009C15CF">
      <w:pPr>
        <w:pStyle w:val="ListParagraph"/>
        <w:jc w:val="both"/>
        <w:rPr>
          <w:lang w:val="nl-BE"/>
        </w:rPr>
      </w:pPr>
    </w:p>
    <w:p w14:paraId="209A5F71" w14:textId="750E8050" w:rsidR="000B0421" w:rsidRPr="0069784D" w:rsidRDefault="002E545D" w:rsidP="009C15CF">
      <w:pPr>
        <w:pStyle w:val="Heading3"/>
        <w:jc w:val="both"/>
        <w:rPr>
          <w:rFonts w:asciiTheme="minorHAnsi" w:hAnsiTheme="minorHAnsi" w:cstheme="minorHAnsi"/>
          <w:color w:val="auto"/>
          <w:sz w:val="28"/>
          <w:szCs w:val="28"/>
          <w:lang w:val="nl-BE"/>
        </w:rPr>
      </w:pPr>
      <w:bookmarkStart w:id="9" w:name="_Toc104134031"/>
      <w:r w:rsidRPr="0069784D">
        <w:rPr>
          <w:rFonts w:asciiTheme="minorHAnsi" w:hAnsiTheme="minorHAnsi" w:cstheme="minorHAnsi"/>
          <w:color w:val="auto"/>
          <w:sz w:val="28"/>
          <w:szCs w:val="28"/>
          <w:lang w:val="nl-BE"/>
        </w:rPr>
        <w:t xml:space="preserve">Artikelen </w:t>
      </w:r>
      <w:r w:rsidR="000B0421" w:rsidRPr="0069784D">
        <w:rPr>
          <w:rFonts w:asciiTheme="minorHAnsi" w:hAnsiTheme="minorHAnsi" w:cstheme="minorHAnsi"/>
          <w:color w:val="auto"/>
          <w:sz w:val="28"/>
          <w:szCs w:val="28"/>
          <w:lang w:val="nl-BE"/>
        </w:rPr>
        <w:t>417/29 e</w:t>
      </w:r>
      <w:r w:rsidRPr="0069784D">
        <w:rPr>
          <w:rFonts w:asciiTheme="minorHAnsi" w:hAnsiTheme="minorHAnsi" w:cstheme="minorHAnsi"/>
          <w:color w:val="auto"/>
          <w:sz w:val="28"/>
          <w:szCs w:val="28"/>
          <w:lang w:val="nl-BE"/>
        </w:rPr>
        <w:t>n</w:t>
      </w:r>
      <w:r w:rsidR="000B0421" w:rsidRPr="0069784D">
        <w:rPr>
          <w:rFonts w:asciiTheme="minorHAnsi" w:hAnsiTheme="minorHAnsi" w:cstheme="minorHAnsi"/>
          <w:color w:val="auto"/>
          <w:sz w:val="28"/>
          <w:szCs w:val="28"/>
          <w:lang w:val="nl-BE"/>
        </w:rPr>
        <w:t xml:space="preserve"> 417/30</w:t>
      </w:r>
      <w:r w:rsidR="00172E85" w:rsidRPr="0069784D">
        <w:rPr>
          <w:rFonts w:asciiTheme="minorHAnsi" w:hAnsiTheme="minorHAnsi" w:cstheme="minorHAnsi"/>
          <w:color w:val="auto"/>
          <w:sz w:val="28"/>
          <w:szCs w:val="28"/>
          <w:lang w:val="nl-BE"/>
        </w:rPr>
        <w:t xml:space="preserve"> -</w:t>
      </w:r>
      <w:r w:rsidR="00A95FEE" w:rsidRPr="0069784D">
        <w:rPr>
          <w:rFonts w:asciiTheme="minorHAnsi" w:hAnsiTheme="minorHAnsi" w:cstheme="minorHAnsi"/>
          <w:color w:val="auto"/>
          <w:sz w:val="28"/>
          <w:szCs w:val="28"/>
          <w:lang w:val="nl-BE"/>
        </w:rPr>
        <w:t xml:space="preserve"> </w:t>
      </w:r>
      <w:bookmarkEnd w:id="9"/>
      <w:r w:rsidRPr="0069784D">
        <w:rPr>
          <w:rFonts w:asciiTheme="minorHAnsi" w:hAnsiTheme="minorHAnsi" w:cstheme="minorHAnsi"/>
          <w:color w:val="000000"/>
          <w:sz w:val="28"/>
          <w:szCs w:val="28"/>
          <w:lang w:val="nl-BE"/>
        </w:rPr>
        <w:t>Houden van een huis van ontucht of prostitutie waar een minderjarige ontucht of prostitutie pleegt</w:t>
      </w:r>
    </w:p>
    <w:p w14:paraId="6A58E3AC" w14:textId="77777777" w:rsidR="002E545D" w:rsidRPr="0069784D" w:rsidRDefault="002E545D" w:rsidP="009C15CF">
      <w:pPr>
        <w:jc w:val="both"/>
        <w:rPr>
          <w:lang w:val="nl-BE"/>
        </w:rPr>
      </w:pPr>
    </w:p>
    <w:p w14:paraId="5D4C3B08" w14:textId="4005060C" w:rsidR="000B0421" w:rsidRPr="0069784D" w:rsidRDefault="002E545D" w:rsidP="009C15CF">
      <w:pPr>
        <w:jc w:val="both"/>
        <w:rPr>
          <w:lang w:val="nl-BE"/>
        </w:rPr>
      </w:pPr>
      <w:r w:rsidRPr="0069784D">
        <w:rPr>
          <w:lang w:val="nl-BE"/>
        </w:rPr>
        <w:t>Artikel</w:t>
      </w:r>
      <w:r w:rsidR="000B0421" w:rsidRPr="0069784D">
        <w:rPr>
          <w:lang w:val="nl-BE"/>
        </w:rPr>
        <w:t xml:space="preserve"> 417/29 </w:t>
      </w:r>
      <w:r w:rsidRPr="0069784D">
        <w:rPr>
          <w:lang w:val="nl-BE"/>
        </w:rPr>
        <w:t xml:space="preserve">vervangt het </w:t>
      </w:r>
      <w:r w:rsidRPr="0069784D">
        <w:rPr>
          <w:b/>
          <w:bCs/>
          <w:lang w:val="nl-BE"/>
        </w:rPr>
        <w:t>vroegere artikel</w:t>
      </w:r>
      <w:r w:rsidRPr="0069784D">
        <w:rPr>
          <w:b/>
          <w:lang w:val="nl-BE"/>
        </w:rPr>
        <w:t xml:space="preserve"> </w:t>
      </w:r>
      <w:r w:rsidR="000B0421" w:rsidRPr="0069784D">
        <w:rPr>
          <w:b/>
          <w:lang w:val="nl-BE"/>
        </w:rPr>
        <w:t>380</w:t>
      </w:r>
      <w:r w:rsidR="00A95FEE" w:rsidRPr="0069784D">
        <w:rPr>
          <w:b/>
          <w:lang w:val="nl-BE"/>
        </w:rPr>
        <w:t>,</w:t>
      </w:r>
      <w:r w:rsidR="000B0421" w:rsidRPr="0069784D">
        <w:rPr>
          <w:b/>
          <w:lang w:val="nl-BE"/>
        </w:rPr>
        <w:t xml:space="preserve"> §4</w:t>
      </w:r>
      <w:r w:rsidR="00A95FEE" w:rsidRPr="0069784D">
        <w:rPr>
          <w:b/>
          <w:lang w:val="nl-BE"/>
        </w:rPr>
        <w:t>,</w:t>
      </w:r>
      <w:r w:rsidR="000B0421" w:rsidRPr="0069784D">
        <w:rPr>
          <w:b/>
          <w:lang w:val="nl-BE"/>
        </w:rPr>
        <w:t xml:space="preserve"> 2°</w:t>
      </w:r>
      <w:r w:rsidRPr="0069784D">
        <w:rPr>
          <w:b/>
          <w:lang w:val="nl-BE"/>
        </w:rPr>
        <w:t>.</w:t>
      </w:r>
      <w:r w:rsidR="000B0421" w:rsidRPr="0069784D">
        <w:rPr>
          <w:lang w:val="nl-BE"/>
        </w:rPr>
        <w:t xml:space="preserve"> </w:t>
      </w:r>
    </w:p>
    <w:p w14:paraId="50817899" w14:textId="1FE85C72" w:rsidR="000B0421" w:rsidRPr="0069784D" w:rsidRDefault="002E545D" w:rsidP="009C15CF">
      <w:pPr>
        <w:jc w:val="both"/>
        <w:rPr>
          <w:lang w:val="nl-BE"/>
        </w:rPr>
      </w:pPr>
      <w:r w:rsidRPr="0069784D">
        <w:rPr>
          <w:lang w:val="nl-BE"/>
        </w:rPr>
        <w:t xml:space="preserve">Artikel </w:t>
      </w:r>
      <w:r w:rsidR="000B0421" w:rsidRPr="0069784D">
        <w:rPr>
          <w:lang w:val="nl-BE"/>
        </w:rPr>
        <w:t xml:space="preserve">417/30 </w:t>
      </w:r>
      <w:r w:rsidRPr="0069784D">
        <w:rPr>
          <w:lang w:val="nl-BE"/>
        </w:rPr>
        <w:t xml:space="preserve">vervangt het </w:t>
      </w:r>
      <w:r w:rsidRPr="0069784D">
        <w:rPr>
          <w:b/>
          <w:bCs/>
          <w:lang w:val="nl-BE"/>
        </w:rPr>
        <w:t>vroegere artikel</w:t>
      </w:r>
      <w:r w:rsidRPr="0069784D">
        <w:rPr>
          <w:b/>
          <w:lang w:val="nl-BE"/>
        </w:rPr>
        <w:t xml:space="preserve"> </w:t>
      </w:r>
      <w:r w:rsidR="000B0421" w:rsidRPr="0069784D">
        <w:rPr>
          <w:b/>
          <w:lang w:val="nl-BE"/>
        </w:rPr>
        <w:t>380</w:t>
      </w:r>
      <w:r w:rsidR="00A95FEE" w:rsidRPr="0069784D">
        <w:rPr>
          <w:b/>
          <w:lang w:val="nl-BE"/>
        </w:rPr>
        <w:t>,</w:t>
      </w:r>
      <w:r w:rsidR="000B0421" w:rsidRPr="0069784D">
        <w:rPr>
          <w:b/>
          <w:lang w:val="nl-BE"/>
        </w:rPr>
        <w:t xml:space="preserve"> §5</w:t>
      </w:r>
      <w:r w:rsidRPr="0069784D">
        <w:rPr>
          <w:lang w:val="nl-BE"/>
        </w:rPr>
        <w:t>,</w:t>
      </w:r>
      <w:r w:rsidR="005B2F4C" w:rsidRPr="0069784D">
        <w:rPr>
          <w:lang w:val="nl-BE"/>
        </w:rPr>
        <w:t xml:space="preserve"> </w:t>
      </w:r>
      <w:r w:rsidRPr="0069784D">
        <w:rPr>
          <w:lang w:val="nl-BE"/>
        </w:rPr>
        <w:t>dat in een verzwarende omstandigheid omgevormd werd</w:t>
      </w:r>
      <w:r w:rsidR="000B0421" w:rsidRPr="0069784D">
        <w:rPr>
          <w:lang w:val="nl-BE"/>
        </w:rPr>
        <w:t xml:space="preserve">. </w:t>
      </w:r>
    </w:p>
    <w:p w14:paraId="11FC657E" w14:textId="77777777" w:rsidR="000B0421" w:rsidRPr="0069784D" w:rsidRDefault="000B0421" w:rsidP="009C15CF">
      <w:pPr>
        <w:jc w:val="both"/>
        <w:rPr>
          <w:lang w:val="nl-BE"/>
        </w:rPr>
      </w:pPr>
    </w:p>
    <w:p w14:paraId="1ACE596F" w14:textId="15BB280A" w:rsidR="000B0421" w:rsidRPr="0069784D" w:rsidRDefault="002E545D" w:rsidP="009C15CF">
      <w:pPr>
        <w:pStyle w:val="Heading3"/>
        <w:jc w:val="both"/>
        <w:rPr>
          <w:rFonts w:asciiTheme="minorHAnsi" w:hAnsiTheme="minorHAnsi" w:cstheme="minorHAnsi"/>
          <w:color w:val="auto"/>
          <w:sz w:val="28"/>
          <w:szCs w:val="28"/>
          <w:lang w:val="nl-BE"/>
        </w:rPr>
      </w:pPr>
      <w:bookmarkStart w:id="10" w:name="_Toc104134032"/>
      <w:r w:rsidRPr="0069784D">
        <w:rPr>
          <w:rFonts w:asciiTheme="minorHAnsi" w:hAnsiTheme="minorHAnsi" w:cstheme="minorHAnsi"/>
          <w:color w:val="auto"/>
          <w:sz w:val="28"/>
          <w:szCs w:val="28"/>
          <w:lang w:val="nl-BE"/>
        </w:rPr>
        <w:lastRenderedPageBreak/>
        <w:t xml:space="preserve">Artikelen </w:t>
      </w:r>
      <w:r w:rsidR="000B0421" w:rsidRPr="0069784D">
        <w:rPr>
          <w:rFonts w:asciiTheme="minorHAnsi" w:hAnsiTheme="minorHAnsi" w:cstheme="minorHAnsi"/>
          <w:color w:val="auto"/>
          <w:sz w:val="28"/>
          <w:szCs w:val="28"/>
          <w:lang w:val="nl-BE"/>
        </w:rPr>
        <w:t>417/31 e</w:t>
      </w:r>
      <w:r w:rsidRPr="0069784D">
        <w:rPr>
          <w:rFonts w:asciiTheme="minorHAnsi" w:hAnsiTheme="minorHAnsi" w:cstheme="minorHAnsi"/>
          <w:color w:val="auto"/>
          <w:sz w:val="28"/>
          <w:szCs w:val="28"/>
          <w:lang w:val="nl-BE"/>
        </w:rPr>
        <w:t>n</w:t>
      </w:r>
      <w:r w:rsidR="000B0421" w:rsidRPr="0069784D">
        <w:rPr>
          <w:rFonts w:asciiTheme="minorHAnsi" w:hAnsiTheme="minorHAnsi" w:cstheme="minorHAnsi"/>
          <w:color w:val="auto"/>
          <w:sz w:val="28"/>
          <w:szCs w:val="28"/>
          <w:lang w:val="nl-BE"/>
        </w:rPr>
        <w:t xml:space="preserve"> 417/32</w:t>
      </w:r>
      <w:bookmarkEnd w:id="10"/>
      <w:r w:rsidR="00172E85" w:rsidRPr="0069784D">
        <w:rPr>
          <w:rFonts w:asciiTheme="minorHAnsi" w:hAnsiTheme="minorHAnsi" w:cstheme="minorHAnsi"/>
          <w:color w:val="auto"/>
          <w:sz w:val="28"/>
          <w:szCs w:val="28"/>
          <w:lang w:val="nl-BE"/>
        </w:rPr>
        <w:t xml:space="preserve"> -</w:t>
      </w:r>
      <w:r w:rsidRPr="0069784D">
        <w:rPr>
          <w:rFonts w:asciiTheme="minorHAnsi" w:hAnsiTheme="minorHAnsi" w:cstheme="minorHAnsi"/>
          <w:color w:val="auto"/>
          <w:sz w:val="28"/>
          <w:szCs w:val="28"/>
          <w:lang w:val="nl-BE"/>
        </w:rPr>
        <w:t xml:space="preserve"> </w:t>
      </w:r>
      <w:r w:rsidRPr="0069784D">
        <w:rPr>
          <w:rFonts w:asciiTheme="minorHAnsi" w:hAnsiTheme="minorHAnsi" w:cstheme="minorHAnsi"/>
          <w:color w:val="000000"/>
          <w:sz w:val="28"/>
          <w:szCs w:val="28"/>
          <w:lang w:val="nl-BE"/>
        </w:rPr>
        <w:t>Ter beschikking stellen van een ruimte aan een minderjarige met het oog op ontucht of prostitutie</w:t>
      </w:r>
    </w:p>
    <w:p w14:paraId="5EFC656B" w14:textId="7C32089B" w:rsidR="002E545D" w:rsidRPr="0069784D" w:rsidRDefault="002E545D" w:rsidP="009C15CF">
      <w:pPr>
        <w:jc w:val="both"/>
        <w:rPr>
          <w:lang w:val="nl-BE"/>
        </w:rPr>
      </w:pPr>
    </w:p>
    <w:p w14:paraId="7949B5D0" w14:textId="2D7A0D83" w:rsidR="000B0421" w:rsidRPr="0069784D" w:rsidRDefault="002E545D" w:rsidP="009C15CF">
      <w:pPr>
        <w:jc w:val="both"/>
        <w:rPr>
          <w:lang w:val="nl-BE"/>
        </w:rPr>
      </w:pPr>
      <w:r w:rsidRPr="0069784D">
        <w:rPr>
          <w:lang w:val="nl-BE"/>
        </w:rPr>
        <w:t>Artikel</w:t>
      </w:r>
      <w:r w:rsidR="000B0421" w:rsidRPr="0069784D">
        <w:rPr>
          <w:lang w:val="nl-BE"/>
        </w:rPr>
        <w:t xml:space="preserve"> 417/31 </w:t>
      </w:r>
      <w:r w:rsidRPr="0069784D">
        <w:rPr>
          <w:lang w:val="nl-BE"/>
        </w:rPr>
        <w:t xml:space="preserve">vervangt het </w:t>
      </w:r>
      <w:r w:rsidRPr="0069784D">
        <w:rPr>
          <w:b/>
          <w:bCs/>
          <w:lang w:val="nl-BE"/>
        </w:rPr>
        <w:t>vroegere artikel</w:t>
      </w:r>
      <w:r w:rsidRPr="0069784D">
        <w:rPr>
          <w:b/>
          <w:lang w:val="nl-BE"/>
        </w:rPr>
        <w:t xml:space="preserve"> </w:t>
      </w:r>
      <w:r w:rsidR="000B0421" w:rsidRPr="0069784D">
        <w:rPr>
          <w:b/>
          <w:lang w:val="nl-BE"/>
        </w:rPr>
        <w:t>380</w:t>
      </w:r>
      <w:r w:rsidR="00A95FEE" w:rsidRPr="0069784D">
        <w:rPr>
          <w:b/>
          <w:lang w:val="nl-BE"/>
        </w:rPr>
        <w:t xml:space="preserve">, </w:t>
      </w:r>
      <w:r w:rsidR="000B0421" w:rsidRPr="0069784D">
        <w:rPr>
          <w:b/>
          <w:lang w:val="nl-BE"/>
        </w:rPr>
        <w:t>§4</w:t>
      </w:r>
      <w:r w:rsidR="00A95FEE" w:rsidRPr="0069784D">
        <w:rPr>
          <w:b/>
          <w:lang w:val="nl-BE"/>
        </w:rPr>
        <w:t>,</w:t>
      </w:r>
      <w:r w:rsidR="0032182C" w:rsidRPr="0069784D">
        <w:rPr>
          <w:b/>
          <w:lang w:val="nl-BE"/>
        </w:rPr>
        <w:t xml:space="preserve"> 3</w:t>
      </w:r>
      <w:r w:rsidR="000B0421" w:rsidRPr="0069784D">
        <w:rPr>
          <w:b/>
          <w:lang w:val="nl-BE"/>
        </w:rPr>
        <w:t>°</w:t>
      </w:r>
      <w:r w:rsidR="00890FDC" w:rsidRPr="0069784D">
        <w:rPr>
          <w:b/>
          <w:lang w:val="nl-BE"/>
        </w:rPr>
        <w:t>.</w:t>
      </w:r>
    </w:p>
    <w:p w14:paraId="1BD0D923" w14:textId="36A546A5" w:rsidR="000B0421" w:rsidRPr="0069784D" w:rsidRDefault="002E545D" w:rsidP="009C15CF">
      <w:pPr>
        <w:jc w:val="both"/>
        <w:rPr>
          <w:lang w:val="nl-BE"/>
        </w:rPr>
      </w:pPr>
      <w:r w:rsidRPr="0069784D">
        <w:rPr>
          <w:lang w:val="nl-BE"/>
        </w:rPr>
        <w:t xml:space="preserve">De </w:t>
      </w:r>
      <w:r w:rsidRPr="002B0732">
        <w:rPr>
          <w:lang w:val="nl-BE"/>
        </w:rPr>
        <w:t>bewoording</w:t>
      </w:r>
      <w:r w:rsidR="003F3006" w:rsidRPr="002B0732">
        <w:rPr>
          <w:lang w:val="nl-BE"/>
        </w:rPr>
        <w:t>en</w:t>
      </w:r>
      <w:r w:rsidRPr="002B0732">
        <w:rPr>
          <w:lang w:val="nl-BE"/>
        </w:rPr>
        <w:t xml:space="preserve"> ‘</w:t>
      </w:r>
      <w:r w:rsidR="005B2F4C" w:rsidRPr="002B0732">
        <w:rPr>
          <w:lang w:val="nl-BE"/>
        </w:rPr>
        <w:t>met de bedoeling een abnormaal profijt te realiseren</w:t>
      </w:r>
      <w:r w:rsidRPr="002B0732">
        <w:rPr>
          <w:lang w:val="nl-BE"/>
        </w:rPr>
        <w:t xml:space="preserve">’ uit het vroegere artikel </w:t>
      </w:r>
      <w:r w:rsidR="00181773" w:rsidRPr="002B0732">
        <w:rPr>
          <w:lang w:val="nl-BE"/>
        </w:rPr>
        <w:t xml:space="preserve">380, §4, </w:t>
      </w:r>
      <w:r w:rsidR="000B0421" w:rsidRPr="002B0732">
        <w:rPr>
          <w:lang w:val="nl-BE"/>
        </w:rPr>
        <w:t>3°</w:t>
      </w:r>
      <w:r w:rsidR="00890FDC" w:rsidRPr="002B0732">
        <w:rPr>
          <w:lang w:val="nl-BE"/>
        </w:rPr>
        <w:t xml:space="preserve"> </w:t>
      </w:r>
      <w:r w:rsidRPr="002B0732">
        <w:rPr>
          <w:lang w:val="nl-BE"/>
        </w:rPr>
        <w:t>word</w:t>
      </w:r>
      <w:r w:rsidR="003F3006" w:rsidRPr="002B0732">
        <w:rPr>
          <w:lang w:val="nl-BE"/>
        </w:rPr>
        <w:t>en</w:t>
      </w:r>
      <w:r w:rsidRPr="002B0732">
        <w:rPr>
          <w:lang w:val="nl-BE"/>
        </w:rPr>
        <w:t xml:space="preserve"> geschrapt. De nieuwe wet is met andere woorden ruimer</w:t>
      </w:r>
      <w:r w:rsidR="002B0732" w:rsidRPr="002B0732">
        <w:rPr>
          <w:lang w:val="nl-BE"/>
        </w:rPr>
        <w:t xml:space="preserve">e </w:t>
      </w:r>
      <w:r w:rsidRPr="002B0732">
        <w:rPr>
          <w:lang w:val="nl-BE"/>
        </w:rPr>
        <w:t>geformuleerd</w:t>
      </w:r>
      <w:r w:rsidR="00890FDC" w:rsidRPr="0069784D">
        <w:rPr>
          <w:lang w:val="nl-BE"/>
        </w:rPr>
        <w:t>.</w:t>
      </w:r>
      <w:r w:rsidR="000B0421" w:rsidRPr="0069784D">
        <w:rPr>
          <w:lang w:val="nl-BE"/>
        </w:rPr>
        <w:t xml:space="preserve"> </w:t>
      </w:r>
    </w:p>
    <w:p w14:paraId="3626CED6" w14:textId="2FA509B6" w:rsidR="000B0421" w:rsidRPr="0069784D" w:rsidRDefault="005B2F4C" w:rsidP="009C15CF">
      <w:pPr>
        <w:jc w:val="both"/>
        <w:rPr>
          <w:lang w:val="nl-BE"/>
        </w:rPr>
      </w:pPr>
      <w:r w:rsidRPr="0069784D">
        <w:rPr>
          <w:lang w:val="nl-BE"/>
        </w:rPr>
        <w:t>Artikel</w:t>
      </w:r>
      <w:r w:rsidR="000B0421" w:rsidRPr="0069784D">
        <w:rPr>
          <w:lang w:val="nl-BE"/>
        </w:rPr>
        <w:t xml:space="preserve"> 417/32 </w:t>
      </w:r>
      <w:r w:rsidRPr="0069784D">
        <w:rPr>
          <w:lang w:val="nl-BE"/>
        </w:rPr>
        <w:t xml:space="preserve">vervangt het </w:t>
      </w:r>
      <w:r w:rsidRPr="0069784D">
        <w:rPr>
          <w:b/>
          <w:bCs/>
          <w:lang w:val="nl-BE"/>
        </w:rPr>
        <w:t>vroegere artikel</w:t>
      </w:r>
      <w:r w:rsidRPr="0069784D">
        <w:rPr>
          <w:b/>
          <w:lang w:val="nl-BE"/>
        </w:rPr>
        <w:t xml:space="preserve"> </w:t>
      </w:r>
      <w:r w:rsidR="000B0421" w:rsidRPr="0069784D">
        <w:rPr>
          <w:b/>
          <w:lang w:val="nl-BE"/>
        </w:rPr>
        <w:t>380</w:t>
      </w:r>
      <w:r w:rsidR="00A95FEE" w:rsidRPr="0069784D">
        <w:rPr>
          <w:b/>
          <w:lang w:val="nl-BE"/>
        </w:rPr>
        <w:t>, §</w:t>
      </w:r>
      <w:r w:rsidR="000B0421" w:rsidRPr="0069784D">
        <w:rPr>
          <w:b/>
          <w:lang w:val="nl-BE"/>
        </w:rPr>
        <w:t>5</w:t>
      </w:r>
      <w:r w:rsidRPr="0069784D">
        <w:rPr>
          <w:lang w:val="nl-BE"/>
        </w:rPr>
        <w:t>, dat in een verzwarende omstandigheid omgevormd werd.</w:t>
      </w:r>
    </w:p>
    <w:p w14:paraId="09D9A749" w14:textId="77777777" w:rsidR="000B0421" w:rsidRPr="0069784D" w:rsidRDefault="000B0421" w:rsidP="009C15CF">
      <w:pPr>
        <w:pStyle w:val="ListParagraph"/>
        <w:jc w:val="both"/>
        <w:rPr>
          <w:lang w:val="nl-BE"/>
        </w:rPr>
      </w:pPr>
    </w:p>
    <w:p w14:paraId="7DF35031" w14:textId="24747CA4" w:rsidR="000B0421" w:rsidRPr="0069784D" w:rsidRDefault="005B2F4C" w:rsidP="009C15CF">
      <w:pPr>
        <w:pStyle w:val="Heading3"/>
        <w:jc w:val="both"/>
        <w:rPr>
          <w:rFonts w:asciiTheme="minorHAnsi" w:hAnsiTheme="minorHAnsi" w:cstheme="minorHAnsi"/>
          <w:color w:val="auto"/>
          <w:sz w:val="28"/>
          <w:szCs w:val="28"/>
          <w:lang w:val="nl-BE"/>
        </w:rPr>
      </w:pPr>
      <w:bookmarkStart w:id="11" w:name="_Toc104134033"/>
      <w:r w:rsidRPr="0069784D">
        <w:rPr>
          <w:rFonts w:asciiTheme="minorHAnsi" w:hAnsiTheme="minorHAnsi" w:cstheme="minorHAnsi"/>
          <w:color w:val="auto"/>
          <w:sz w:val="28"/>
          <w:szCs w:val="28"/>
          <w:lang w:val="nl-BE"/>
        </w:rPr>
        <w:t xml:space="preserve">Artikelen </w:t>
      </w:r>
      <w:r w:rsidR="000B0421" w:rsidRPr="0069784D">
        <w:rPr>
          <w:rFonts w:asciiTheme="minorHAnsi" w:hAnsiTheme="minorHAnsi" w:cstheme="minorHAnsi"/>
          <w:color w:val="auto"/>
          <w:sz w:val="28"/>
          <w:szCs w:val="28"/>
          <w:lang w:val="nl-BE"/>
        </w:rPr>
        <w:t>417/33 e</w:t>
      </w:r>
      <w:r w:rsidRPr="0069784D">
        <w:rPr>
          <w:rFonts w:asciiTheme="minorHAnsi" w:hAnsiTheme="minorHAnsi" w:cstheme="minorHAnsi"/>
          <w:color w:val="auto"/>
          <w:sz w:val="28"/>
          <w:szCs w:val="28"/>
          <w:lang w:val="nl-BE"/>
        </w:rPr>
        <w:t>n</w:t>
      </w:r>
      <w:r w:rsidR="000B0421" w:rsidRPr="0069784D">
        <w:rPr>
          <w:rFonts w:asciiTheme="minorHAnsi" w:hAnsiTheme="minorHAnsi" w:cstheme="minorHAnsi"/>
          <w:color w:val="auto"/>
          <w:sz w:val="28"/>
          <w:szCs w:val="28"/>
          <w:lang w:val="nl-BE"/>
        </w:rPr>
        <w:t xml:space="preserve"> 417/</w:t>
      </w:r>
      <w:r w:rsidR="00A95FEE" w:rsidRPr="0069784D">
        <w:rPr>
          <w:rFonts w:asciiTheme="minorHAnsi" w:hAnsiTheme="minorHAnsi" w:cstheme="minorHAnsi"/>
          <w:color w:val="auto"/>
          <w:sz w:val="28"/>
          <w:szCs w:val="28"/>
          <w:lang w:val="nl-BE"/>
        </w:rPr>
        <w:t>34</w:t>
      </w:r>
      <w:r w:rsidR="00172E85" w:rsidRPr="0069784D">
        <w:rPr>
          <w:rFonts w:asciiTheme="minorHAnsi" w:hAnsiTheme="minorHAnsi" w:cstheme="minorHAnsi"/>
          <w:color w:val="auto"/>
          <w:sz w:val="28"/>
          <w:szCs w:val="28"/>
          <w:lang w:val="nl-BE"/>
        </w:rPr>
        <w:t xml:space="preserve"> -</w:t>
      </w:r>
      <w:r w:rsidR="00A95FEE" w:rsidRPr="0069784D">
        <w:rPr>
          <w:rFonts w:asciiTheme="minorHAnsi" w:hAnsiTheme="minorHAnsi" w:cstheme="minorHAnsi"/>
          <w:color w:val="auto"/>
          <w:sz w:val="28"/>
          <w:szCs w:val="28"/>
          <w:lang w:val="nl-BE"/>
        </w:rPr>
        <w:t xml:space="preserve"> </w:t>
      </w:r>
      <w:bookmarkEnd w:id="11"/>
      <w:r w:rsidRPr="0069784D">
        <w:rPr>
          <w:rFonts w:asciiTheme="minorHAnsi" w:hAnsiTheme="minorHAnsi" w:cstheme="minorHAnsi"/>
          <w:color w:val="000000"/>
          <w:sz w:val="28"/>
          <w:szCs w:val="28"/>
          <w:lang w:val="nl-BE"/>
        </w:rPr>
        <w:t>Exploitatie van de ontucht of prostitutie van een minderjarige</w:t>
      </w:r>
      <w:r w:rsidR="00A95FEE" w:rsidRPr="0069784D">
        <w:rPr>
          <w:rFonts w:asciiTheme="minorHAnsi" w:hAnsiTheme="minorHAnsi" w:cstheme="minorHAnsi"/>
          <w:color w:val="auto"/>
          <w:sz w:val="28"/>
          <w:szCs w:val="28"/>
          <w:lang w:val="nl-BE"/>
        </w:rPr>
        <w:t xml:space="preserve"> </w:t>
      </w:r>
    </w:p>
    <w:p w14:paraId="62042F2E" w14:textId="77777777" w:rsidR="005B2F4C" w:rsidRPr="0069784D" w:rsidRDefault="005B2F4C" w:rsidP="009C15CF">
      <w:pPr>
        <w:rPr>
          <w:lang w:val="nl-BE"/>
        </w:rPr>
      </w:pPr>
    </w:p>
    <w:p w14:paraId="7A585C3C" w14:textId="1B52AD37" w:rsidR="000B0421" w:rsidRPr="0069784D" w:rsidRDefault="005B2F4C" w:rsidP="009C15CF">
      <w:pPr>
        <w:jc w:val="both"/>
        <w:rPr>
          <w:lang w:val="nl-BE"/>
        </w:rPr>
      </w:pPr>
      <w:r w:rsidRPr="0069784D">
        <w:rPr>
          <w:lang w:val="nl-BE"/>
        </w:rPr>
        <w:t>Artikel</w:t>
      </w:r>
      <w:r w:rsidR="000B0421" w:rsidRPr="0069784D">
        <w:rPr>
          <w:lang w:val="nl-BE"/>
        </w:rPr>
        <w:t xml:space="preserve"> 417/33 </w:t>
      </w:r>
      <w:r w:rsidR="002E545D" w:rsidRPr="0069784D">
        <w:rPr>
          <w:lang w:val="nl-BE"/>
        </w:rPr>
        <w:t xml:space="preserve">vervangt het </w:t>
      </w:r>
      <w:r w:rsidR="002E545D" w:rsidRPr="0069784D">
        <w:rPr>
          <w:b/>
          <w:bCs/>
          <w:lang w:val="nl-BE"/>
        </w:rPr>
        <w:t>vroegere artikel</w:t>
      </w:r>
      <w:r w:rsidR="002E545D" w:rsidRPr="0069784D">
        <w:rPr>
          <w:b/>
          <w:lang w:val="nl-BE"/>
        </w:rPr>
        <w:t xml:space="preserve"> </w:t>
      </w:r>
      <w:r w:rsidR="000B0421" w:rsidRPr="0069784D">
        <w:rPr>
          <w:b/>
          <w:lang w:val="nl-BE"/>
        </w:rPr>
        <w:t>380</w:t>
      </w:r>
      <w:r w:rsidR="00A95FEE" w:rsidRPr="0069784D">
        <w:rPr>
          <w:b/>
          <w:lang w:val="nl-BE"/>
        </w:rPr>
        <w:t>,</w:t>
      </w:r>
      <w:r w:rsidR="000B0421" w:rsidRPr="0069784D">
        <w:rPr>
          <w:b/>
          <w:lang w:val="nl-BE"/>
        </w:rPr>
        <w:t xml:space="preserve"> §4</w:t>
      </w:r>
      <w:r w:rsidR="00A95FEE" w:rsidRPr="0069784D">
        <w:rPr>
          <w:b/>
          <w:lang w:val="nl-BE"/>
        </w:rPr>
        <w:t>,</w:t>
      </w:r>
      <w:r w:rsidR="000B0421" w:rsidRPr="0069784D">
        <w:rPr>
          <w:b/>
          <w:lang w:val="nl-BE"/>
        </w:rPr>
        <w:t xml:space="preserve"> 4°</w:t>
      </w:r>
      <w:r w:rsidR="00817777" w:rsidRPr="0069784D">
        <w:rPr>
          <w:b/>
          <w:lang w:val="nl-BE"/>
        </w:rPr>
        <w:t>.</w:t>
      </w:r>
      <w:r w:rsidR="000B0421" w:rsidRPr="0069784D">
        <w:rPr>
          <w:lang w:val="nl-BE"/>
        </w:rPr>
        <w:t xml:space="preserve"> </w:t>
      </w:r>
    </w:p>
    <w:p w14:paraId="2AD7747E" w14:textId="2746C004" w:rsidR="000B0421" w:rsidRPr="0069784D" w:rsidRDefault="005B2F4C" w:rsidP="009C15CF">
      <w:pPr>
        <w:jc w:val="both"/>
        <w:rPr>
          <w:lang w:val="nl-BE"/>
        </w:rPr>
      </w:pPr>
      <w:r w:rsidRPr="0069784D">
        <w:rPr>
          <w:lang w:val="nl-BE"/>
        </w:rPr>
        <w:t>Artikel</w:t>
      </w:r>
      <w:r w:rsidR="000B0421" w:rsidRPr="0069784D">
        <w:rPr>
          <w:lang w:val="nl-BE"/>
        </w:rPr>
        <w:t xml:space="preserve"> 417/34 </w:t>
      </w:r>
      <w:r w:rsidR="002E545D" w:rsidRPr="0069784D">
        <w:rPr>
          <w:lang w:val="nl-BE"/>
        </w:rPr>
        <w:t xml:space="preserve">vervangt het </w:t>
      </w:r>
      <w:r w:rsidR="002E545D" w:rsidRPr="0069784D">
        <w:rPr>
          <w:b/>
          <w:bCs/>
          <w:lang w:val="nl-BE"/>
        </w:rPr>
        <w:t>vroegere artikel</w:t>
      </w:r>
      <w:r w:rsidR="002E545D" w:rsidRPr="0069784D">
        <w:rPr>
          <w:b/>
          <w:lang w:val="nl-BE"/>
        </w:rPr>
        <w:t xml:space="preserve"> </w:t>
      </w:r>
      <w:r w:rsidR="000B0421" w:rsidRPr="0069784D">
        <w:rPr>
          <w:b/>
          <w:lang w:val="nl-BE"/>
        </w:rPr>
        <w:t>380</w:t>
      </w:r>
      <w:r w:rsidR="00A95FEE" w:rsidRPr="0069784D">
        <w:rPr>
          <w:b/>
          <w:lang w:val="nl-BE"/>
        </w:rPr>
        <w:t>,</w:t>
      </w:r>
      <w:r w:rsidR="000B0421" w:rsidRPr="0069784D">
        <w:rPr>
          <w:b/>
          <w:lang w:val="nl-BE"/>
        </w:rPr>
        <w:t xml:space="preserve"> §5</w:t>
      </w:r>
      <w:r w:rsidRPr="0069784D">
        <w:rPr>
          <w:lang w:val="nl-BE"/>
        </w:rPr>
        <w:t>, dat in een verzwarende omstandigheid omgevormd werd.</w:t>
      </w:r>
    </w:p>
    <w:p w14:paraId="269CC1A5" w14:textId="338C095E" w:rsidR="000B0421" w:rsidRPr="0069784D" w:rsidRDefault="005B2F4C" w:rsidP="009C15CF">
      <w:pPr>
        <w:jc w:val="both"/>
        <w:rPr>
          <w:lang w:val="nl-BE"/>
        </w:rPr>
      </w:pPr>
      <w:r w:rsidRPr="0069784D">
        <w:rPr>
          <w:lang w:val="nl-BE"/>
        </w:rPr>
        <w:t>De zinssnede ‘</w:t>
      </w:r>
      <w:r w:rsidRPr="0069784D">
        <w:rPr>
          <w:color w:val="000000"/>
          <w:lang w:val="nl-BE"/>
        </w:rPr>
        <w:t>onverminderd de in artikel 433quinquies bedoelde gevallen’ die aan beide artikelen toegevoegd werd</w:t>
      </w:r>
      <w:r w:rsidRPr="0069784D">
        <w:rPr>
          <w:lang w:val="nl-BE"/>
        </w:rPr>
        <w:t>, “</w:t>
      </w:r>
      <w:r w:rsidRPr="0069784D">
        <w:rPr>
          <w:i/>
          <w:iCs/>
          <w:lang w:val="nl-BE"/>
        </w:rPr>
        <w:t>vestigt echter de aandacht van diegene die kunnen vervolgen op het feit dat voorrang moet worden gegeven aan vervolging en een eventuele veroordeling op basis van mensenhandel, met name om de slachtoffers beter te beschermen en hun in voorkomend geval de status van slachtoffer van mensenhandel te verlenen.”</w:t>
      </w:r>
      <w:r w:rsidR="00747F5B" w:rsidRPr="0069784D">
        <w:rPr>
          <w:lang w:val="nl-BE"/>
        </w:rPr>
        <w:t xml:space="preserve"> </w:t>
      </w:r>
    </w:p>
    <w:p w14:paraId="71419CE9" w14:textId="77777777" w:rsidR="005B2F4C" w:rsidRPr="0069784D" w:rsidRDefault="005B2F4C" w:rsidP="009C15CF">
      <w:pPr>
        <w:jc w:val="both"/>
        <w:rPr>
          <w:lang w:val="nl-BE"/>
        </w:rPr>
      </w:pPr>
    </w:p>
    <w:p w14:paraId="66BD8F6F" w14:textId="1F1489BB" w:rsidR="000B0421" w:rsidRPr="0069784D" w:rsidRDefault="005B2F4C" w:rsidP="009C15CF">
      <w:pPr>
        <w:pStyle w:val="Heading3"/>
        <w:jc w:val="both"/>
        <w:rPr>
          <w:rFonts w:asciiTheme="minorHAnsi" w:hAnsiTheme="minorHAnsi" w:cstheme="minorHAnsi"/>
          <w:color w:val="auto"/>
          <w:sz w:val="28"/>
          <w:szCs w:val="28"/>
          <w:lang w:val="nl-BE"/>
        </w:rPr>
      </w:pPr>
      <w:bookmarkStart w:id="12" w:name="_Toc104134034"/>
      <w:r w:rsidRPr="0069784D">
        <w:rPr>
          <w:rFonts w:asciiTheme="minorHAnsi" w:hAnsiTheme="minorHAnsi" w:cstheme="minorHAnsi"/>
          <w:color w:val="auto"/>
          <w:sz w:val="28"/>
          <w:szCs w:val="28"/>
          <w:lang w:val="nl-BE"/>
        </w:rPr>
        <w:t xml:space="preserve">Artikelen </w:t>
      </w:r>
      <w:r w:rsidR="000B0421" w:rsidRPr="0069784D">
        <w:rPr>
          <w:rFonts w:asciiTheme="minorHAnsi" w:hAnsiTheme="minorHAnsi" w:cstheme="minorHAnsi"/>
          <w:color w:val="auto"/>
          <w:sz w:val="28"/>
          <w:szCs w:val="28"/>
          <w:lang w:val="nl-BE"/>
        </w:rPr>
        <w:t>417/35 e</w:t>
      </w:r>
      <w:r w:rsidRPr="0069784D">
        <w:rPr>
          <w:rFonts w:asciiTheme="minorHAnsi" w:hAnsiTheme="minorHAnsi" w:cstheme="minorHAnsi"/>
          <w:color w:val="auto"/>
          <w:sz w:val="28"/>
          <w:szCs w:val="28"/>
          <w:lang w:val="nl-BE"/>
        </w:rPr>
        <w:t>n</w:t>
      </w:r>
      <w:r w:rsidR="000B0421" w:rsidRPr="0069784D">
        <w:rPr>
          <w:rFonts w:asciiTheme="minorHAnsi" w:hAnsiTheme="minorHAnsi" w:cstheme="minorHAnsi"/>
          <w:color w:val="auto"/>
          <w:sz w:val="28"/>
          <w:szCs w:val="28"/>
          <w:lang w:val="nl-BE"/>
        </w:rPr>
        <w:t xml:space="preserve"> 417/36</w:t>
      </w:r>
      <w:r w:rsidR="00172E85" w:rsidRPr="0069784D">
        <w:rPr>
          <w:rFonts w:asciiTheme="minorHAnsi" w:hAnsiTheme="minorHAnsi" w:cstheme="minorHAnsi"/>
          <w:color w:val="auto"/>
          <w:sz w:val="28"/>
          <w:szCs w:val="28"/>
          <w:lang w:val="nl-BE"/>
        </w:rPr>
        <w:t xml:space="preserve"> -</w:t>
      </w:r>
      <w:r w:rsidR="00A95FEE" w:rsidRPr="0069784D">
        <w:rPr>
          <w:rFonts w:asciiTheme="minorHAnsi" w:hAnsiTheme="minorHAnsi" w:cstheme="minorHAnsi"/>
          <w:color w:val="auto"/>
          <w:sz w:val="28"/>
          <w:szCs w:val="28"/>
          <w:lang w:val="nl-BE"/>
        </w:rPr>
        <w:t xml:space="preserve"> </w:t>
      </w:r>
      <w:bookmarkEnd w:id="12"/>
      <w:r w:rsidRPr="0069784D">
        <w:rPr>
          <w:rFonts w:asciiTheme="minorHAnsi" w:hAnsiTheme="minorHAnsi" w:cstheme="minorHAnsi"/>
          <w:color w:val="000000"/>
          <w:sz w:val="28"/>
          <w:szCs w:val="28"/>
          <w:lang w:val="nl-BE"/>
        </w:rPr>
        <w:t>Verkrijgen van de ontucht of de prostitutie van een minderjarige</w:t>
      </w:r>
    </w:p>
    <w:p w14:paraId="3D4BB918" w14:textId="77777777" w:rsidR="005B2F4C" w:rsidRPr="0069784D" w:rsidRDefault="005B2F4C" w:rsidP="009C15CF">
      <w:pPr>
        <w:jc w:val="both"/>
        <w:rPr>
          <w:lang w:val="nl-BE"/>
        </w:rPr>
      </w:pPr>
    </w:p>
    <w:p w14:paraId="113493E2" w14:textId="4DCBE953" w:rsidR="000B0421" w:rsidRPr="0069784D" w:rsidRDefault="005B2F4C" w:rsidP="009C15CF">
      <w:pPr>
        <w:jc w:val="both"/>
        <w:rPr>
          <w:b/>
          <w:lang w:val="nl-BE"/>
        </w:rPr>
      </w:pPr>
      <w:r w:rsidRPr="0069784D">
        <w:rPr>
          <w:lang w:val="nl-BE"/>
        </w:rPr>
        <w:t>Artikel</w:t>
      </w:r>
      <w:r w:rsidR="000B0421" w:rsidRPr="0069784D">
        <w:rPr>
          <w:lang w:val="nl-BE"/>
        </w:rPr>
        <w:t xml:space="preserve"> 417/35 </w:t>
      </w:r>
      <w:r w:rsidR="002E545D" w:rsidRPr="0069784D">
        <w:rPr>
          <w:lang w:val="nl-BE"/>
        </w:rPr>
        <w:t xml:space="preserve">vervangt het </w:t>
      </w:r>
      <w:r w:rsidR="002E545D" w:rsidRPr="0069784D">
        <w:rPr>
          <w:b/>
          <w:bCs/>
          <w:lang w:val="nl-BE"/>
        </w:rPr>
        <w:t>vroegere artikel</w:t>
      </w:r>
      <w:r w:rsidR="002E545D" w:rsidRPr="0069784D">
        <w:rPr>
          <w:b/>
          <w:lang w:val="nl-BE"/>
        </w:rPr>
        <w:t xml:space="preserve"> </w:t>
      </w:r>
      <w:r w:rsidR="000B0421" w:rsidRPr="0069784D">
        <w:rPr>
          <w:b/>
          <w:lang w:val="nl-BE"/>
        </w:rPr>
        <w:t>380</w:t>
      </w:r>
      <w:r w:rsidR="00A95FEE" w:rsidRPr="0069784D">
        <w:rPr>
          <w:b/>
          <w:lang w:val="nl-BE"/>
        </w:rPr>
        <w:t>,</w:t>
      </w:r>
      <w:r w:rsidR="000B0421" w:rsidRPr="0069784D">
        <w:rPr>
          <w:b/>
          <w:lang w:val="nl-BE"/>
        </w:rPr>
        <w:t xml:space="preserve"> §4</w:t>
      </w:r>
      <w:r w:rsidR="00A95FEE" w:rsidRPr="0069784D">
        <w:rPr>
          <w:b/>
          <w:lang w:val="nl-BE"/>
        </w:rPr>
        <w:t>,</w:t>
      </w:r>
      <w:r w:rsidR="000B0421" w:rsidRPr="0069784D">
        <w:rPr>
          <w:b/>
          <w:lang w:val="nl-BE"/>
        </w:rPr>
        <w:t xml:space="preserve"> 5°</w:t>
      </w:r>
      <w:r w:rsidR="00817777" w:rsidRPr="0069784D">
        <w:rPr>
          <w:b/>
          <w:lang w:val="nl-BE"/>
        </w:rPr>
        <w:t>.</w:t>
      </w:r>
      <w:r w:rsidR="000B0421" w:rsidRPr="0069784D">
        <w:rPr>
          <w:b/>
          <w:lang w:val="nl-BE"/>
        </w:rPr>
        <w:t xml:space="preserve"> </w:t>
      </w:r>
    </w:p>
    <w:p w14:paraId="2919F090" w14:textId="4F22970A" w:rsidR="000B0421" w:rsidRPr="0069784D" w:rsidRDefault="005B2F4C" w:rsidP="009C15CF">
      <w:pPr>
        <w:jc w:val="both"/>
        <w:rPr>
          <w:lang w:val="nl-BE"/>
        </w:rPr>
      </w:pPr>
      <w:r w:rsidRPr="0069784D">
        <w:rPr>
          <w:lang w:val="nl-BE"/>
        </w:rPr>
        <w:t xml:space="preserve">Artikel </w:t>
      </w:r>
      <w:r w:rsidR="000B0421" w:rsidRPr="0069784D">
        <w:rPr>
          <w:lang w:val="nl-BE"/>
        </w:rPr>
        <w:t xml:space="preserve">417/36 </w:t>
      </w:r>
      <w:r w:rsidR="002E545D" w:rsidRPr="0069784D">
        <w:rPr>
          <w:lang w:val="nl-BE"/>
        </w:rPr>
        <w:t xml:space="preserve">vervangt het </w:t>
      </w:r>
      <w:r w:rsidR="002E545D" w:rsidRPr="0069784D">
        <w:rPr>
          <w:b/>
          <w:bCs/>
          <w:lang w:val="nl-BE"/>
        </w:rPr>
        <w:t>vroegere artikel</w:t>
      </w:r>
      <w:r w:rsidR="002E545D" w:rsidRPr="0069784D">
        <w:rPr>
          <w:b/>
          <w:lang w:val="nl-BE"/>
        </w:rPr>
        <w:t xml:space="preserve"> </w:t>
      </w:r>
      <w:r w:rsidR="000B0421" w:rsidRPr="0069784D">
        <w:rPr>
          <w:b/>
          <w:lang w:val="nl-BE"/>
        </w:rPr>
        <w:t>380</w:t>
      </w:r>
      <w:r w:rsidR="00A95FEE" w:rsidRPr="0069784D">
        <w:rPr>
          <w:b/>
          <w:lang w:val="nl-BE"/>
        </w:rPr>
        <w:t>,</w:t>
      </w:r>
      <w:r w:rsidR="000B0421" w:rsidRPr="0069784D">
        <w:rPr>
          <w:b/>
          <w:lang w:val="nl-BE"/>
        </w:rPr>
        <w:t xml:space="preserve"> §5</w:t>
      </w:r>
      <w:r w:rsidRPr="0069784D">
        <w:rPr>
          <w:lang w:val="nl-BE"/>
        </w:rPr>
        <w:t>, dat in een verzwarende omstandigheid omgevormd werd.</w:t>
      </w:r>
    </w:p>
    <w:p w14:paraId="79317718" w14:textId="4F2BED24" w:rsidR="00747F5B" w:rsidRPr="0069784D" w:rsidRDefault="005B2F4C" w:rsidP="009C15CF">
      <w:pPr>
        <w:jc w:val="both"/>
        <w:rPr>
          <w:lang w:val="nl-BE"/>
        </w:rPr>
      </w:pPr>
      <w:r w:rsidRPr="0069784D">
        <w:rPr>
          <w:lang w:val="nl-BE"/>
        </w:rPr>
        <w:t>Deze artikelen werden niet aangevuld met de zinssnede ‘</w:t>
      </w:r>
      <w:r w:rsidRPr="0069784D">
        <w:rPr>
          <w:color w:val="000000"/>
          <w:lang w:val="nl-BE"/>
        </w:rPr>
        <w:t xml:space="preserve">onverminderd de in artikel 433quinquies bedoelde gevallen’ omdat </w:t>
      </w:r>
      <w:r w:rsidR="00890FDC" w:rsidRPr="0069784D">
        <w:rPr>
          <w:color w:val="000000"/>
          <w:lang w:val="nl-BE"/>
        </w:rPr>
        <w:t>ze</w:t>
      </w:r>
      <w:r w:rsidRPr="0069784D">
        <w:rPr>
          <w:color w:val="000000"/>
          <w:lang w:val="nl-BE"/>
        </w:rPr>
        <w:t xml:space="preserve"> betrekking </w:t>
      </w:r>
      <w:r w:rsidR="00890FDC" w:rsidRPr="0069784D">
        <w:rPr>
          <w:color w:val="000000"/>
          <w:lang w:val="nl-BE"/>
        </w:rPr>
        <w:t>hebben</w:t>
      </w:r>
      <w:r w:rsidRPr="0069784D">
        <w:rPr>
          <w:color w:val="000000"/>
          <w:lang w:val="nl-BE"/>
        </w:rPr>
        <w:t xml:space="preserve"> op de klanten van minderjarigen in de prostitutie. </w:t>
      </w:r>
      <w:r w:rsidR="00B976F6" w:rsidRPr="0069784D">
        <w:rPr>
          <w:lang w:val="nl-BE"/>
        </w:rPr>
        <w:t>Indien deze klanten mededader of medeplichtige zijn aan de uitbuiting</w:t>
      </w:r>
      <w:r w:rsidR="00817777" w:rsidRPr="0069784D">
        <w:rPr>
          <w:lang w:val="nl-BE"/>
        </w:rPr>
        <w:t>,</w:t>
      </w:r>
      <w:r w:rsidR="00B976F6" w:rsidRPr="0069784D">
        <w:rPr>
          <w:lang w:val="nl-BE"/>
        </w:rPr>
        <w:t xml:space="preserve"> zullen zij ook moeten worden vervolgd en veroordeeld voor uitbuiting van de prostitutie van minderjarigen of voor mensenhandel (zie memorie van toelichting, bladzijde 56).</w:t>
      </w:r>
    </w:p>
    <w:p w14:paraId="632E8546" w14:textId="77777777" w:rsidR="000B0421" w:rsidRPr="0069784D" w:rsidRDefault="000B0421" w:rsidP="009C15CF">
      <w:pPr>
        <w:pStyle w:val="ListParagraph"/>
        <w:jc w:val="both"/>
        <w:rPr>
          <w:lang w:val="nl-BE"/>
        </w:rPr>
      </w:pPr>
    </w:p>
    <w:p w14:paraId="0ABBBAC8" w14:textId="237769B8" w:rsidR="000B0421" w:rsidRPr="0069784D" w:rsidRDefault="00C3365B" w:rsidP="009C15CF">
      <w:pPr>
        <w:pStyle w:val="Heading3"/>
        <w:jc w:val="both"/>
        <w:rPr>
          <w:rFonts w:asciiTheme="minorHAnsi" w:hAnsiTheme="minorHAnsi" w:cstheme="minorHAnsi"/>
          <w:color w:val="000000"/>
          <w:lang w:val="nl-BE"/>
        </w:rPr>
      </w:pPr>
      <w:bookmarkStart w:id="13" w:name="_Toc104134035"/>
      <w:r w:rsidRPr="0069784D">
        <w:rPr>
          <w:rFonts w:asciiTheme="minorHAnsi" w:hAnsiTheme="minorHAnsi" w:cstheme="minorHAnsi"/>
          <w:color w:val="auto"/>
          <w:sz w:val="28"/>
          <w:szCs w:val="28"/>
          <w:lang w:val="nl-BE"/>
        </w:rPr>
        <w:lastRenderedPageBreak/>
        <w:t xml:space="preserve">Artikel </w:t>
      </w:r>
      <w:r w:rsidR="000B0421" w:rsidRPr="0069784D">
        <w:rPr>
          <w:rFonts w:asciiTheme="minorHAnsi" w:hAnsiTheme="minorHAnsi" w:cstheme="minorHAnsi"/>
          <w:color w:val="auto"/>
          <w:sz w:val="28"/>
          <w:szCs w:val="28"/>
          <w:lang w:val="nl-BE"/>
        </w:rPr>
        <w:t>417/37</w:t>
      </w:r>
      <w:r w:rsidR="00172E85" w:rsidRPr="0069784D">
        <w:rPr>
          <w:rFonts w:asciiTheme="minorHAnsi" w:hAnsiTheme="minorHAnsi" w:cstheme="minorHAnsi"/>
          <w:color w:val="auto"/>
          <w:sz w:val="28"/>
          <w:szCs w:val="28"/>
          <w:lang w:val="nl-BE"/>
        </w:rPr>
        <w:t xml:space="preserve"> -</w:t>
      </w:r>
      <w:r w:rsidR="00A95FEE" w:rsidRPr="0069784D">
        <w:rPr>
          <w:rFonts w:asciiTheme="minorHAnsi" w:hAnsiTheme="minorHAnsi" w:cstheme="minorHAnsi"/>
          <w:color w:val="auto"/>
          <w:sz w:val="28"/>
          <w:szCs w:val="28"/>
          <w:lang w:val="nl-BE"/>
        </w:rPr>
        <w:t xml:space="preserve"> </w:t>
      </w:r>
      <w:bookmarkEnd w:id="13"/>
      <w:r w:rsidRPr="0069784D">
        <w:rPr>
          <w:rFonts w:asciiTheme="minorHAnsi" w:hAnsiTheme="minorHAnsi" w:cstheme="minorHAnsi"/>
          <w:color w:val="000000"/>
          <w:sz w:val="28"/>
          <w:szCs w:val="28"/>
          <w:lang w:val="nl-BE"/>
        </w:rPr>
        <w:t>Organisatie van ontucht of prostitutie van een minderjarige in vereniging</w:t>
      </w:r>
    </w:p>
    <w:p w14:paraId="621F781F" w14:textId="77777777" w:rsidR="00C3365B" w:rsidRPr="0069784D" w:rsidRDefault="00C3365B" w:rsidP="009C15CF">
      <w:pPr>
        <w:rPr>
          <w:lang w:val="nl-BE"/>
        </w:rPr>
      </w:pPr>
    </w:p>
    <w:p w14:paraId="5EF930CB" w14:textId="638F2946" w:rsidR="000B0421" w:rsidRPr="0069784D" w:rsidRDefault="00C3365B" w:rsidP="009C15CF">
      <w:pPr>
        <w:jc w:val="both"/>
        <w:rPr>
          <w:lang w:val="nl-BE"/>
        </w:rPr>
      </w:pPr>
      <w:r w:rsidRPr="0069784D">
        <w:rPr>
          <w:lang w:val="nl-BE"/>
        </w:rPr>
        <w:t xml:space="preserve">Dit artikel vervangt het </w:t>
      </w:r>
      <w:r w:rsidRPr="0069784D">
        <w:rPr>
          <w:b/>
          <w:bCs/>
          <w:lang w:val="nl-BE"/>
        </w:rPr>
        <w:t>vroegere artikel 381</w:t>
      </w:r>
      <w:r w:rsidR="000B0421" w:rsidRPr="0069784D">
        <w:rPr>
          <w:lang w:val="nl-BE"/>
        </w:rPr>
        <w:t>.</w:t>
      </w:r>
    </w:p>
    <w:p w14:paraId="18D1C70C" w14:textId="7D93E664" w:rsidR="000B0421" w:rsidRPr="0069784D" w:rsidRDefault="003F3006" w:rsidP="009C15CF">
      <w:pPr>
        <w:jc w:val="both"/>
        <w:rPr>
          <w:lang w:val="nl-BE"/>
        </w:rPr>
      </w:pPr>
      <w:r w:rsidRPr="002B0732">
        <w:rPr>
          <w:lang w:val="nl-BE"/>
        </w:rPr>
        <w:t xml:space="preserve">Er dient te worden opgemerkt </w:t>
      </w:r>
      <w:r w:rsidR="00C3365B" w:rsidRPr="002B0732">
        <w:rPr>
          <w:lang w:val="nl-BE"/>
        </w:rPr>
        <w:t xml:space="preserve">dat deze </w:t>
      </w:r>
      <w:r w:rsidR="00C3365B" w:rsidRPr="0069784D">
        <w:rPr>
          <w:lang w:val="nl-BE"/>
        </w:rPr>
        <w:t xml:space="preserve">nieuwe bepaling toegepast kan worden </w:t>
      </w:r>
      <w:r w:rsidR="00C3365B" w:rsidRPr="0069784D">
        <w:rPr>
          <w:b/>
          <w:bCs/>
          <w:lang w:val="nl-BE"/>
        </w:rPr>
        <w:t>ongeacht de leeftijd van de minderjarige</w:t>
      </w:r>
      <w:r w:rsidR="00C3365B" w:rsidRPr="0069784D">
        <w:rPr>
          <w:lang w:val="nl-BE"/>
        </w:rPr>
        <w:t xml:space="preserve"> (geen onderscheid tussen een minderjarige ouder of jonger dan 16 jaar). </w:t>
      </w:r>
    </w:p>
    <w:p w14:paraId="6C8C3E2B" w14:textId="2DFA8690" w:rsidR="000B0421" w:rsidRPr="0069784D" w:rsidRDefault="00C3365B" w:rsidP="009C15CF">
      <w:pPr>
        <w:jc w:val="both"/>
        <w:rPr>
          <w:lang w:val="nl-BE"/>
        </w:rPr>
      </w:pPr>
      <w:r w:rsidRPr="0069784D">
        <w:rPr>
          <w:lang w:val="nl-BE"/>
        </w:rPr>
        <w:t>De wetgever verzwaart in dit artikel ook de straff</w:t>
      </w:r>
      <w:r w:rsidR="00890FDC" w:rsidRPr="0069784D">
        <w:rPr>
          <w:lang w:val="nl-BE"/>
        </w:rPr>
        <w:t xml:space="preserve">en </w:t>
      </w:r>
      <w:r w:rsidR="003F3006" w:rsidRPr="002B0732">
        <w:rPr>
          <w:lang w:val="nl-BE"/>
        </w:rPr>
        <w:t xml:space="preserve">ten opzichte van </w:t>
      </w:r>
      <w:r w:rsidRPr="002B0732">
        <w:rPr>
          <w:lang w:val="nl-BE"/>
        </w:rPr>
        <w:t xml:space="preserve">de vroegere </w:t>
      </w:r>
      <w:r w:rsidRPr="0069784D">
        <w:rPr>
          <w:lang w:val="nl-BE"/>
        </w:rPr>
        <w:t xml:space="preserve">tekst. </w:t>
      </w:r>
    </w:p>
    <w:p w14:paraId="5B39F6C6" w14:textId="26ADF59A" w:rsidR="000B0421" w:rsidRPr="0069784D" w:rsidRDefault="00C3365B" w:rsidP="009C15CF">
      <w:pPr>
        <w:jc w:val="both"/>
        <w:rPr>
          <w:lang w:val="nl-BE"/>
        </w:rPr>
      </w:pPr>
      <w:r w:rsidRPr="0069784D">
        <w:rPr>
          <w:lang w:val="nl-BE"/>
        </w:rPr>
        <w:t>De combinatie van de vroegere artikelen</w:t>
      </w:r>
      <w:r w:rsidR="00181773" w:rsidRPr="0069784D">
        <w:rPr>
          <w:lang w:val="nl-BE"/>
        </w:rPr>
        <w:t xml:space="preserve"> 380, §</w:t>
      </w:r>
      <w:r w:rsidR="000B0421" w:rsidRPr="0069784D">
        <w:rPr>
          <w:lang w:val="nl-BE"/>
        </w:rPr>
        <w:t>§3 e</w:t>
      </w:r>
      <w:r w:rsidRPr="0069784D">
        <w:rPr>
          <w:lang w:val="nl-BE"/>
        </w:rPr>
        <w:t>n</w:t>
      </w:r>
      <w:r w:rsidR="00181773" w:rsidRPr="0069784D">
        <w:rPr>
          <w:lang w:val="nl-BE"/>
        </w:rPr>
        <w:t xml:space="preserve"> </w:t>
      </w:r>
      <w:r w:rsidR="000B0421" w:rsidRPr="0069784D">
        <w:rPr>
          <w:lang w:val="nl-BE"/>
        </w:rPr>
        <w:t>4 e</w:t>
      </w:r>
      <w:r w:rsidRPr="0069784D">
        <w:rPr>
          <w:lang w:val="nl-BE"/>
        </w:rPr>
        <w:t>n</w:t>
      </w:r>
      <w:r w:rsidR="000B0421" w:rsidRPr="0069784D">
        <w:rPr>
          <w:lang w:val="nl-BE"/>
        </w:rPr>
        <w:t xml:space="preserve"> 381 </w:t>
      </w:r>
      <w:r w:rsidRPr="0069784D">
        <w:rPr>
          <w:lang w:val="nl-BE"/>
        </w:rPr>
        <w:t>werd immers bestraft met een ops</w:t>
      </w:r>
      <w:r w:rsidR="00447215" w:rsidRPr="0069784D">
        <w:rPr>
          <w:lang w:val="nl-BE"/>
        </w:rPr>
        <w:t>l</w:t>
      </w:r>
      <w:r w:rsidRPr="0069784D">
        <w:rPr>
          <w:lang w:val="nl-BE"/>
        </w:rPr>
        <w:t xml:space="preserve">uiting van 15 tot 20 jaar en voorzag in een opsluiting van 17 tot 20 jaar in geval van minderjarigen jonger dan 16 jaar. </w:t>
      </w:r>
    </w:p>
    <w:p w14:paraId="59BCED35" w14:textId="497E7154" w:rsidR="000B0421" w:rsidRPr="002B0732" w:rsidRDefault="003F3006" w:rsidP="009C15CF">
      <w:pPr>
        <w:jc w:val="both"/>
        <w:rPr>
          <w:b/>
          <w:lang w:val="nl-BE"/>
        </w:rPr>
      </w:pPr>
      <w:r w:rsidRPr="002B0732">
        <w:rPr>
          <w:lang w:val="nl-BE"/>
        </w:rPr>
        <w:t>D</w:t>
      </w:r>
      <w:r w:rsidR="00C3365B" w:rsidRPr="002B0732">
        <w:rPr>
          <w:lang w:val="nl-BE"/>
        </w:rPr>
        <w:t xml:space="preserve">it nieuwe misdrijf </w:t>
      </w:r>
      <w:r w:rsidRPr="002B0732">
        <w:rPr>
          <w:lang w:val="nl-BE"/>
        </w:rPr>
        <w:t xml:space="preserve">wordt </w:t>
      </w:r>
      <w:r w:rsidR="00C3365B" w:rsidRPr="002B0732">
        <w:rPr>
          <w:lang w:val="nl-BE"/>
        </w:rPr>
        <w:t>voortaan</w:t>
      </w:r>
      <w:r w:rsidRPr="002B0732">
        <w:rPr>
          <w:lang w:val="nl-BE"/>
        </w:rPr>
        <w:t xml:space="preserve"> -</w:t>
      </w:r>
      <w:r w:rsidR="00C3365B" w:rsidRPr="002B0732">
        <w:rPr>
          <w:lang w:val="nl-BE"/>
        </w:rPr>
        <w:t>zonder dat nog een leeftijdsonderscheid tussen minderjarigen gemaakt wordt</w:t>
      </w:r>
      <w:r w:rsidRPr="002B0732">
        <w:rPr>
          <w:lang w:val="nl-BE"/>
        </w:rPr>
        <w:t>-</w:t>
      </w:r>
      <w:r w:rsidR="00C3365B" w:rsidRPr="002B0732">
        <w:rPr>
          <w:lang w:val="nl-BE"/>
        </w:rPr>
        <w:t xml:space="preserve"> </w:t>
      </w:r>
      <w:r w:rsidRPr="002B0732">
        <w:rPr>
          <w:lang w:val="nl-BE"/>
        </w:rPr>
        <w:t xml:space="preserve"> bestraft met</w:t>
      </w:r>
      <w:r w:rsidR="002B0732" w:rsidRPr="002B0732">
        <w:rPr>
          <w:lang w:val="nl-BE"/>
        </w:rPr>
        <w:t xml:space="preserve"> </w:t>
      </w:r>
      <w:r w:rsidR="00C3365B" w:rsidRPr="002B0732">
        <w:rPr>
          <w:lang w:val="nl-BE"/>
        </w:rPr>
        <w:t xml:space="preserve">opsluiting van 20 tot 30 jaar en een geldboete van </w:t>
      </w:r>
      <w:r w:rsidR="008C465C" w:rsidRPr="002B0732">
        <w:rPr>
          <w:lang w:val="nl-BE"/>
        </w:rPr>
        <w:t>1.000</w:t>
      </w:r>
      <w:r w:rsidR="000B0421" w:rsidRPr="002B0732">
        <w:rPr>
          <w:lang w:val="nl-BE"/>
        </w:rPr>
        <w:t xml:space="preserve"> </w:t>
      </w:r>
      <w:r w:rsidR="00C3365B" w:rsidRPr="002B0732">
        <w:rPr>
          <w:lang w:val="nl-BE"/>
        </w:rPr>
        <w:t>tot</w:t>
      </w:r>
      <w:r w:rsidR="000B0421" w:rsidRPr="002B0732">
        <w:rPr>
          <w:lang w:val="nl-BE"/>
        </w:rPr>
        <w:t xml:space="preserve"> 100.000</w:t>
      </w:r>
      <w:r w:rsidR="00C3365B" w:rsidRPr="002B0732">
        <w:rPr>
          <w:lang w:val="nl-BE"/>
        </w:rPr>
        <w:t xml:space="preserve"> euro</w:t>
      </w:r>
      <w:r w:rsidR="00890FDC" w:rsidRPr="002B0732">
        <w:rPr>
          <w:lang w:val="nl-BE"/>
        </w:rPr>
        <w:t>.</w:t>
      </w:r>
      <w:r w:rsidR="000B0421" w:rsidRPr="002B0732">
        <w:rPr>
          <w:lang w:val="nl-BE"/>
        </w:rPr>
        <w:t xml:space="preserve"> </w:t>
      </w:r>
      <w:r w:rsidRPr="002B0732">
        <w:rPr>
          <w:b/>
          <w:lang w:val="nl-BE"/>
        </w:rPr>
        <w:t>Dit misdrijf</w:t>
      </w:r>
      <w:r w:rsidR="00C3365B" w:rsidRPr="002B0732">
        <w:rPr>
          <w:b/>
          <w:lang w:val="nl-BE"/>
        </w:rPr>
        <w:t xml:space="preserve"> is dus niet correctionaliseerbaar aangezien de wet op de verzachtende omstandigheden </w:t>
      </w:r>
      <w:r w:rsidR="002C433B" w:rsidRPr="002B0732">
        <w:rPr>
          <w:b/>
          <w:lang w:val="nl-BE"/>
        </w:rPr>
        <w:t>niet</w:t>
      </w:r>
      <w:r w:rsidR="00C3365B" w:rsidRPr="002B0732">
        <w:rPr>
          <w:b/>
          <w:lang w:val="nl-BE"/>
        </w:rPr>
        <w:t xml:space="preserve"> </w:t>
      </w:r>
      <w:r w:rsidRPr="002B0732">
        <w:rPr>
          <w:b/>
          <w:lang w:val="nl-BE"/>
        </w:rPr>
        <w:t xml:space="preserve">werd </w:t>
      </w:r>
      <w:r w:rsidR="002B0732" w:rsidRPr="002B0732">
        <w:rPr>
          <w:b/>
          <w:lang w:val="nl-BE"/>
        </w:rPr>
        <w:t>aangepast.</w:t>
      </w:r>
    </w:p>
    <w:p w14:paraId="3FE4FDF2" w14:textId="77777777" w:rsidR="000B0421" w:rsidRPr="0069784D" w:rsidRDefault="000B0421" w:rsidP="009C15CF">
      <w:pPr>
        <w:pStyle w:val="ListParagraph"/>
        <w:jc w:val="both"/>
        <w:rPr>
          <w:lang w:val="nl-BE"/>
        </w:rPr>
      </w:pPr>
    </w:p>
    <w:p w14:paraId="4EEEF1C6" w14:textId="4FB36B98" w:rsidR="000B0421" w:rsidRPr="0069784D" w:rsidRDefault="00C3365B" w:rsidP="009C15CF">
      <w:pPr>
        <w:pStyle w:val="Heading3"/>
        <w:jc w:val="both"/>
        <w:rPr>
          <w:rFonts w:asciiTheme="minorHAnsi" w:hAnsiTheme="minorHAnsi" w:cstheme="minorHAnsi"/>
          <w:color w:val="auto"/>
          <w:sz w:val="28"/>
          <w:szCs w:val="28"/>
          <w:lang w:val="nl-BE"/>
        </w:rPr>
      </w:pPr>
      <w:bookmarkStart w:id="14" w:name="_Toc104134036"/>
      <w:r w:rsidRPr="0069784D">
        <w:rPr>
          <w:rFonts w:asciiTheme="minorHAnsi" w:hAnsiTheme="minorHAnsi" w:cstheme="minorHAnsi"/>
          <w:color w:val="auto"/>
          <w:sz w:val="28"/>
          <w:szCs w:val="28"/>
          <w:lang w:val="nl-BE"/>
        </w:rPr>
        <w:t xml:space="preserve">Artikel </w:t>
      </w:r>
      <w:r w:rsidR="000B0421" w:rsidRPr="0069784D">
        <w:rPr>
          <w:rFonts w:asciiTheme="minorHAnsi" w:hAnsiTheme="minorHAnsi" w:cstheme="minorHAnsi"/>
          <w:color w:val="auto"/>
          <w:sz w:val="28"/>
          <w:szCs w:val="28"/>
          <w:lang w:val="nl-BE"/>
        </w:rPr>
        <w:t>417/38</w:t>
      </w:r>
      <w:r w:rsidR="00172E85" w:rsidRPr="0069784D">
        <w:rPr>
          <w:rFonts w:asciiTheme="minorHAnsi" w:hAnsiTheme="minorHAnsi" w:cstheme="minorHAnsi"/>
          <w:color w:val="auto"/>
          <w:sz w:val="28"/>
          <w:szCs w:val="28"/>
          <w:lang w:val="nl-BE"/>
        </w:rPr>
        <w:t xml:space="preserve"> -</w:t>
      </w:r>
      <w:r w:rsidR="00181773" w:rsidRPr="0069784D">
        <w:rPr>
          <w:rFonts w:asciiTheme="minorHAnsi" w:hAnsiTheme="minorHAnsi" w:cstheme="minorHAnsi"/>
          <w:color w:val="auto"/>
          <w:sz w:val="28"/>
          <w:szCs w:val="28"/>
          <w:lang w:val="nl-BE"/>
        </w:rPr>
        <w:t xml:space="preserve"> </w:t>
      </w:r>
      <w:bookmarkEnd w:id="14"/>
      <w:r w:rsidR="00A95AC0" w:rsidRPr="0069784D">
        <w:rPr>
          <w:rFonts w:asciiTheme="minorHAnsi" w:hAnsiTheme="minorHAnsi" w:cstheme="minorHAnsi"/>
          <w:color w:val="000000"/>
          <w:sz w:val="28"/>
          <w:szCs w:val="28"/>
          <w:lang w:val="nl-BE"/>
        </w:rPr>
        <w:t>Bijwonen van ontucht of prostitutie van een minderjarige</w:t>
      </w:r>
    </w:p>
    <w:p w14:paraId="22FCCF61" w14:textId="77777777" w:rsidR="00C3365B" w:rsidRPr="0069784D" w:rsidRDefault="00C3365B" w:rsidP="009C15CF">
      <w:pPr>
        <w:jc w:val="both"/>
        <w:rPr>
          <w:lang w:val="nl-BE"/>
        </w:rPr>
      </w:pPr>
    </w:p>
    <w:p w14:paraId="3FBE0FFF" w14:textId="49B51446" w:rsidR="000B0421" w:rsidRPr="0069784D" w:rsidRDefault="00A95AC0" w:rsidP="009C15CF">
      <w:pPr>
        <w:jc w:val="both"/>
        <w:rPr>
          <w:lang w:val="nl-BE"/>
        </w:rPr>
      </w:pPr>
      <w:r w:rsidRPr="0069784D">
        <w:rPr>
          <w:lang w:val="nl-BE"/>
        </w:rPr>
        <w:t xml:space="preserve">Dit artikel vervangt </w:t>
      </w:r>
      <w:r w:rsidRPr="0069784D">
        <w:rPr>
          <w:b/>
          <w:lang w:val="nl-BE"/>
        </w:rPr>
        <w:t>het vroegere artikel</w:t>
      </w:r>
      <w:r w:rsidR="000B0421" w:rsidRPr="0069784D">
        <w:rPr>
          <w:b/>
          <w:lang w:val="nl-BE"/>
        </w:rPr>
        <w:t xml:space="preserve"> 380</w:t>
      </w:r>
      <w:r w:rsidR="00181773" w:rsidRPr="0069784D">
        <w:rPr>
          <w:b/>
          <w:lang w:val="nl-BE"/>
        </w:rPr>
        <w:t>,</w:t>
      </w:r>
      <w:r w:rsidR="000B0421" w:rsidRPr="0069784D">
        <w:rPr>
          <w:b/>
          <w:lang w:val="nl-BE"/>
        </w:rPr>
        <w:t xml:space="preserve"> §6</w:t>
      </w:r>
      <w:r w:rsidR="000B0421" w:rsidRPr="0069784D">
        <w:rPr>
          <w:lang w:val="nl-BE"/>
        </w:rPr>
        <w:t xml:space="preserve"> e</w:t>
      </w:r>
      <w:r w:rsidRPr="0069784D">
        <w:rPr>
          <w:lang w:val="nl-BE"/>
        </w:rPr>
        <w:t xml:space="preserve">n legt een hogere straf op in vergelijking met de vroegere tekst, aangezien het misdrijf in kwestie voortaan bestraft wordt met een gevangenisstraf van drie tot vijf jaar, terwijl dit voorheen één </w:t>
      </w:r>
      <w:r w:rsidR="00172E85" w:rsidRPr="0069784D">
        <w:rPr>
          <w:lang w:val="nl-BE"/>
        </w:rPr>
        <w:t xml:space="preserve">maand </w:t>
      </w:r>
      <w:r w:rsidRPr="0069784D">
        <w:rPr>
          <w:lang w:val="nl-BE"/>
        </w:rPr>
        <w:t xml:space="preserve">tot </w:t>
      </w:r>
      <w:r w:rsidR="00172E85" w:rsidRPr="0069784D">
        <w:rPr>
          <w:lang w:val="nl-BE"/>
        </w:rPr>
        <w:t xml:space="preserve">twee </w:t>
      </w:r>
      <w:r w:rsidRPr="0069784D">
        <w:rPr>
          <w:lang w:val="nl-BE"/>
        </w:rPr>
        <w:t xml:space="preserve">jaar was. Ook de verplichte geldboete wordt verhoogd van </w:t>
      </w:r>
      <w:r w:rsidR="000B0421" w:rsidRPr="0069784D">
        <w:rPr>
          <w:lang w:val="nl-BE"/>
        </w:rPr>
        <w:t>100/2.000 euro</w:t>
      </w:r>
      <w:r w:rsidRPr="0069784D">
        <w:rPr>
          <w:lang w:val="nl-BE"/>
        </w:rPr>
        <w:t xml:space="preserve"> naar </w:t>
      </w:r>
      <w:r w:rsidR="000B0421" w:rsidRPr="0069784D">
        <w:rPr>
          <w:lang w:val="nl-BE"/>
        </w:rPr>
        <w:t>500/10.000 euro.</w:t>
      </w:r>
    </w:p>
    <w:p w14:paraId="79788605" w14:textId="77777777" w:rsidR="00181773" w:rsidRPr="0069784D" w:rsidRDefault="00181773" w:rsidP="009C15CF">
      <w:pPr>
        <w:jc w:val="both"/>
        <w:rPr>
          <w:lang w:val="nl-BE"/>
        </w:rPr>
      </w:pPr>
    </w:p>
    <w:p w14:paraId="1FBA6C99" w14:textId="64E38084" w:rsidR="000B0421" w:rsidRPr="0069784D" w:rsidRDefault="00A95AC0" w:rsidP="009C15CF">
      <w:pPr>
        <w:pStyle w:val="Heading3"/>
        <w:jc w:val="both"/>
        <w:rPr>
          <w:rFonts w:asciiTheme="minorHAnsi" w:hAnsiTheme="minorHAnsi" w:cstheme="minorHAnsi"/>
          <w:color w:val="auto"/>
          <w:sz w:val="28"/>
          <w:szCs w:val="28"/>
          <w:lang w:val="nl-BE"/>
        </w:rPr>
      </w:pPr>
      <w:bookmarkStart w:id="15" w:name="_Toc104134037"/>
      <w:r w:rsidRPr="0069784D">
        <w:rPr>
          <w:rFonts w:asciiTheme="minorHAnsi" w:hAnsiTheme="minorHAnsi" w:cstheme="minorHAnsi"/>
          <w:color w:val="auto"/>
          <w:sz w:val="28"/>
          <w:szCs w:val="28"/>
          <w:lang w:val="nl-BE"/>
        </w:rPr>
        <w:t xml:space="preserve">Artikelen </w:t>
      </w:r>
      <w:r w:rsidR="000B0421" w:rsidRPr="0069784D">
        <w:rPr>
          <w:rFonts w:asciiTheme="minorHAnsi" w:hAnsiTheme="minorHAnsi" w:cstheme="minorHAnsi"/>
          <w:color w:val="auto"/>
          <w:sz w:val="28"/>
          <w:szCs w:val="28"/>
          <w:lang w:val="nl-BE"/>
        </w:rPr>
        <w:t>417/39 e</w:t>
      </w:r>
      <w:r w:rsidR="00890FDC" w:rsidRPr="0069784D">
        <w:rPr>
          <w:rFonts w:asciiTheme="minorHAnsi" w:hAnsiTheme="minorHAnsi" w:cstheme="minorHAnsi"/>
          <w:color w:val="auto"/>
          <w:sz w:val="28"/>
          <w:szCs w:val="28"/>
          <w:lang w:val="nl-BE"/>
        </w:rPr>
        <w:t>n</w:t>
      </w:r>
      <w:r w:rsidR="000B0421" w:rsidRPr="0069784D">
        <w:rPr>
          <w:rFonts w:asciiTheme="minorHAnsi" w:hAnsiTheme="minorHAnsi" w:cstheme="minorHAnsi"/>
          <w:color w:val="auto"/>
          <w:sz w:val="28"/>
          <w:szCs w:val="28"/>
          <w:lang w:val="nl-BE"/>
        </w:rPr>
        <w:t xml:space="preserve"> </w:t>
      </w:r>
      <w:r w:rsidR="00181773" w:rsidRPr="0069784D">
        <w:rPr>
          <w:rFonts w:asciiTheme="minorHAnsi" w:hAnsiTheme="minorHAnsi" w:cstheme="minorHAnsi"/>
          <w:color w:val="auto"/>
          <w:sz w:val="28"/>
          <w:szCs w:val="28"/>
          <w:lang w:val="nl-BE"/>
        </w:rPr>
        <w:t>417/40</w:t>
      </w:r>
      <w:r w:rsidR="00172E85" w:rsidRPr="0069784D">
        <w:rPr>
          <w:rFonts w:asciiTheme="minorHAnsi" w:hAnsiTheme="minorHAnsi" w:cstheme="minorHAnsi"/>
          <w:color w:val="auto"/>
          <w:sz w:val="28"/>
          <w:szCs w:val="28"/>
          <w:lang w:val="nl-BE"/>
        </w:rPr>
        <w:t xml:space="preserve"> - </w:t>
      </w:r>
      <w:bookmarkEnd w:id="15"/>
      <w:r w:rsidRPr="0069784D">
        <w:rPr>
          <w:rFonts w:asciiTheme="minorHAnsi" w:hAnsiTheme="minorHAnsi" w:cstheme="minorHAnsi"/>
          <w:color w:val="000000"/>
          <w:sz w:val="28"/>
          <w:szCs w:val="28"/>
          <w:lang w:val="nl-BE"/>
        </w:rPr>
        <w:t>Reclame maken voor ontucht en prostitutie van een minderjarige</w:t>
      </w:r>
      <w:r w:rsidR="00181773" w:rsidRPr="0069784D">
        <w:rPr>
          <w:rFonts w:asciiTheme="minorHAnsi" w:hAnsiTheme="minorHAnsi" w:cstheme="minorHAnsi"/>
          <w:color w:val="auto"/>
          <w:sz w:val="28"/>
          <w:szCs w:val="28"/>
          <w:lang w:val="nl-BE"/>
        </w:rPr>
        <w:t xml:space="preserve"> </w:t>
      </w:r>
    </w:p>
    <w:p w14:paraId="5EC8D503" w14:textId="77777777" w:rsidR="00A95AC0" w:rsidRPr="0069784D" w:rsidRDefault="00A95AC0" w:rsidP="009C15CF">
      <w:pPr>
        <w:jc w:val="both"/>
        <w:rPr>
          <w:lang w:val="nl-BE"/>
        </w:rPr>
      </w:pPr>
    </w:p>
    <w:p w14:paraId="4DE4E9F2" w14:textId="2C5518E2" w:rsidR="000B0421" w:rsidRPr="0069784D" w:rsidRDefault="004658A1" w:rsidP="009C15CF">
      <w:pPr>
        <w:jc w:val="both"/>
        <w:rPr>
          <w:lang w:val="nl-BE"/>
        </w:rPr>
      </w:pPr>
      <w:r w:rsidRPr="0069784D">
        <w:rPr>
          <w:lang w:val="nl-BE"/>
        </w:rPr>
        <w:t>Artikel</w:t>
      </w:r>
      <w:r w:rsidR="000B0421" w:rsidRPr="0069784D">
        <w:rPr>
          <w:lang w:val="nl-BE"/>
        </w:rPr>
        <w:t xml:space="preserve"> 417/39 </w:t>
      </w:r>
      <w:r w:rsidRPr="0069784D">
        <w:rPr>
          <w:lang w:val="nl-BE"/>
        </w:rPr>
        <w:t xml:space="preserve">vervangt </w:t>
      </w:r>
      <w:r w:rsidRPr="0069784D">
        <w:rPr>
          <w:b/>
          <w:lang w:val="nl-BE"/>
        </w:rPr>
        <w:t xml:space="preserve">het vroegere artikel </w:t>
      </w:r>
      <w:r w:rsidR="000B0421" w:rsidRPr="0069784D">
        <w:rPr>
          <w:b/>
          <w:lang w:val="nl-BE"/>
        </w:rPr>
        <w:t>380ter</w:t>
      </w:r>
      <w:r w:rsidR="00181773" w:rsidRPr="0069784D">
        <w:rPr>
          <w:b/>
          <w:lang w:val="nl-BE"/>
        </w:rPr>
        <w:t>, §</w:t>
      </w:r>
      <w:r w:rsidRPr="0069784D">
        <w:rPr>
          <w:b/>
          <w:lang w:val="nl-BE"/>
        </w:rPr>
        <w:t>1</w:t>
      </w:r>
      <w:r w:rsidR="00181773" w:rsidRPr="0069784D">
        <w:rPr>
          <w:b/>
          <w:lang w:val="nl-BE"/>
        </w:rPr>
        <w:t xml:space="preserve">, </w:t>
      </w:r>
      <w:r w:rsidRPr="0069784D">
        <w:rPr>
          <w:b/>
          <w:lang w:val="nl-BE"/>
        </w:rPr>
        <w:t>lid 1</w:t>
      </w:r>
      <w:r w:rsidRPr="0069784D">
        <w:rPr>
          <w:bCs/>
          <w:lang w:val="nl-BE"/>
        </w:rPr>
        <w:t>,</w:t>
      </w:r>
      <w:r w:rsidRPr="0069784D">
        <w:rPr>
          <w:b/>
          <w:lang w:val="nl-BE"/>
        </w:rPr>
        <w:t xml:space="preserve"> </w:t>
      </w:r>
      <w:r w:rsidRPr="0069784D">
        <w:rPr>
          <w:lang w:val="nl-BE"/>
        </w:rPr>
        <w:t xml:space="preserve">dat in een </w:t>
      </w:r>
      <w:r w:rsidR="00527CB1" w:rsidRPr="0069784D">
        <w:rPr>
          <w:lang w:val="nl-BE"/>
        </w:rPr>
        <w:t>gevangenis</w:t>
      </w:r>
      <w:r w:rsidRPr="0069784D">
        <w:rPr>
          <w:lang w:val="nl-BE"/>
        </w:rPr>
        <w:t xml:space="preserve">straf van </w:t>
      </w:r>
      <w:r w:rsidR="00172E85" w:rsidRPr="0069784D">
        <w:rPr>
          <w:lang w:val="nl-BE"/>
        </w:rPr>
        <w:t xml:space="preserve">twee </w:t>
      </w:r>
      <w:r w:rsidRPr="0069784D">
        <w:rPr>
          <w:lang w:val="nl-BE"/>
        </w:rPr>
        <w:t xml:space="preserve">maanden tot </w:t>
      </w:r>
      <w:r w:rsidR="00172E85" w:rsidRPr="0069784D">
        <w:rPr>
          <w:lang w:val="nl-BE"/>
        </w:rPr>
        <w:t>twee</w:t>
      </w:r>
      <w:r w:rsidRPr="0069784D">
        <w:rPr>
          <w:lang w:val="nl-BE"/>
        </w:rPr>
        <w:t xml:space="preserve"> jaar voorzag. </w:t>
      </w:r>
    </w:p>
    <w:p w14:paraId="61EFC3E0" w14:textId="12CE859A" w:rsidR="000B0421" w:rsidRPr="002B0732" w:rsidRDefault="003F3006" w:rsidP="009C15CF">
      <w:pPr>
        <w:jc w:val="both"/>
        <w:rPr>
          <w:lang w:val="nl-BE"/>
        </w:rPr>
      </w:pPr>
      <w:r w:rsidRPr="002B0732">
        <w:rPr>
          <w:lang w:val="nl-BE"/>
        </w:rPr>
        <w:t>V</w:t>
      </w:r>
      <w:r w:rsidR="00A36EE0" w:rsidRPr="002B0732">
        <w:rPr>
          <w:lang w:val="nl-BE"/>
        </w:rPr>
        <w:t xml:space="preserve">oortaan </w:t>
      </w:r>
      <w:r w:rsidRPr="002B0732">
        <w:rPr>
          <w:lang w:val="nl-BE"/>
        </w:rPr>
        <w:t xml:space="preserve">wordt dit misdrijf bestraft met </w:t>
      </w:r>
      <w:r w:rsidR="00890FDC" w:rsidRPr="002B0732">
        <w:rPr>
          <w:lang w:val="nl-BE"/>
        </w:rPr>
        <w:t>ze</w:t>
      </w:r>
      <w:r w:rsidR="00172E85" w:rsidRPr="002B0732">
        <w:rPr>
          <w:lang w:val="nl-BE"/>
        </w:rPr>
        <w:t xml:space="preserve">s </w:t>
      </w:r>
      <w:r w:rsidR="00A36EE0" w:rsidRPr="002B0732">
        <w:rPr>
          <w:lang w:val="nl-BE"/>
        </w:rPr>
        <w:t>maanden tot drie jaar</w:t>
      </w:r>
      <w:r w:rsidR="00F848F9" w:rsidRPr="002B0732">
        <w:rPr>
          <w:lang w:val="nl-BE"/>
        </w:rPr>
        <w:t xml:space="preserve"> gevangenisstraf</w:t>
      </w:r>
      <w:r w:rsidR="00A36EE0" w:rsidRPr="002B0732">
        <w:rPr>
          <w:lang w:val="nl-BE"/>
        </w:rPr>
        <w:t xml:space="preserve">. De nieuwe bepaling verstrengt bijgevolg de strafmaat. </w:t>
      </w:r>
    </w:p>
    <w:p w14:paraId="463A55D8" w14:textId="088BC669" w:rsidR="000B0421" w:rsidRPr="0069784D" w:rsidRDefault="00527CB1" w:rsidP="009C15CF">
      <w:pPr>
        <w:jc w:val="both"/>
        <w:rPr>
          <w:lang w:val="nl-BE"/>
        </w:rPr>
      </w:pPr>
      <w:r w:rsidRPr="0069784D">
        <w:rPr>
          <w:lang w:val="nl-BE"/>
        </w:rPr>
        <w:t xml:space="preserve">Artikel </w:t>
      </w:r>
      <w:r w:rsidR="000B0421" w:rsidRPr="0069784D">
        <w:rPr>
          <w:lang w:val="nl-BE"/>
        </w:rPr>
        <w:t>417/40</w:t>
      </w:r>
      <w:r w:rsidRPr="0069784D">
        <w:rPr>
          <w:lang w:val="nl-BE"/>
        </w:rPr>
        <w:t>, dat betrekking heeft op het verzwaard reclame maken voor ontucht of prostitutie van een minderjarige</w:t>
      </w:r>
      <w:r w:rsidR="00817777" w:rsidRPr="0069784D">
        <w:rPr>
          <w:lang w:val="nl-BE"/>
        </w:rPr>
        <w:t>,</w:t>
      </w:r>
      <w:r w:rsidRPr="0069784D">
        <w:rPr>
          <w:lang w:val="nl-BE"/>
        </w:rPr>
        <w:t xml:space="preserve"> vervangt </w:t>
      </w:r>
      <w:r w:rsidRPr="0069784D">
        <w:rPr>
          <w:b/>
          <w:lang w:val="nl-BE"/>
        </w:rPr>
        <w:t>het vroegere artikel 380ter, lid 2</w:t>
      </w:r>
      <w:r w:rsidRPr="0069784D">
        <w:rPr>
          <w:bCs/>
          <w:lang w:val="nl-BE"/>
        </w:rPr>
        <w:t>,</w:t>
      </w:r>
      <w:r w:rsidRPr="0069784D">
        <w:rPr>
          <w:b/>
          <w:lang w:val="nl-BE"/>
        </w:rPr>
        <w:t xml:space="preserve"> </w:t>
      </w:r>
      <w:r w:rsidRPr="0069784D">
        <w:rPr>
          <w:lang w:val="nl-BE"/>
        </w:rPr>
        <w:t xml:space="preserve">dat in een straf van </w:t>
      </w:r>
      <w:r w:rsidR="00172E85" w:rsidRPr="0069784D">
        <w:rPr>
          <w:lang w:val="nl-BE"/>
        </w:rPr>
        <w:t>drie</w:t>
      </w:r>
      <w:r w:rsidRPr="0069784D">
        <w:rPr>
          <w:lang w:val="nl-BE"/>
        </w:rPr>
        <w:t xml:space="preserve"> maanden tot </w:t>
      </w:r>
      <w:r w:rsidR="00172E85" w:rsidRPr="0069784D">
        <w:rPr>
          <w:lang w:val="nl-BE"/>
        </w:rPr>
        <w:t>drie</w:t>
      </w:r>
      <w:r w:rsidRPr="0069784D">
        <w:rPr>
          <w:lang w:val="nl-BE"/>
        </w:rPr>
        <w:t xml:space="preserve"> jaar voorzag.</w:t>
      </w:r>
      <w:r w:rsidR="000B0421" w:rsidRPr="0069784D">
        <w:rPr>
          <w:lang w:val="nl-BE"/>
        </w:rPr>
        <w:t xml:space="preserve"> </w:t>
      </w:r>
    </w:p>
    <w:p w14:paraId="46FC27C5" w14:textId="15B5A290" w:rsidR="000B0421" w:rsidRPr="0069784D" w:rsidRDefault="00527CB1" w:rsidP="009C15CF">
      <w:pPr>
        <w:jc w:val="both"/>
        <w:rPr>
          <w:lang w:val="nl-BE"/>
        </w:rPr>
      </w:pPr>
      <w:r w:rsidRPr="0069784D">
        <w:rPr>
          <w:lang w:val="nl-BE"/>
        </w:rPr>
        <w:t>In het nieuwe artikel</w:t>
      </w:r>
      <w:r w:rsidR="000B0421" w:rsidRPr="0069784D">
        <w:rPr>
          <w:lang w:val="nl-BE"/>
        </w:rPr>
        <w:t xml:space="preserve"> 417/40 </w:t>
      </w:r>
      <w:r w:rsidRPr="0069784D">
        <w:rPr>
          <w:lang w:val="nl-BE"/>
        </w:rPr>
        <w:t>wordt dit drie tot vijf jaar</w:t>
      </w:r>
      <w:r w:rsidR="000B0421" w:rsidRPr="0069784D">
        <w:rPr>
          <w:lang w:val="nl-BE"/>
        </w:rPr>
        <w:t>.</w:t>
      </w:r>
    </w:p>
    <w:p w14:paraId="528E8469" w14:textId="16AC4433" w:rsidR="000B0421" w:rsidRPr="0069784D" w:rsidRDefault="00527CB1" w:rsidP="009C15CF">
      <w:pPr>
        <w:jc w:val="both"/>
        <w:rPr>
          <w:lang w:val="nl-BE"/>
        </w:rPr>
      </w:pPr>
      <w:r w:rsidRPr="0069784D">
        <w:rPr>
          <w:lang w:val="nl-BE"/>
        </w:rPr>
        <w:t xml:space="preserve">Beide artikelen verhogen dus de duur van de gevangenisstraf, maar de geldboete blijft in beide gevallen ongewijzigd. </w:t>
      </w:r>
    </w:p>
    <w:p w14:paraId="407A93CD" w14:textId="77777777" w:rsidR="000B0421" w:rsidRPr="0069784D" w:rsidRDefault="000B0421" w:rsidP="009C15CF">
      <w:pPr>
        <w:jc w:val="both"/>
        <w:rPr>
          <w:bCs/>
          <w:lang w:val="nl-BE"/>
        </w:rPr>
      </w:pPr>
    </w:p>
    <w:p w14:paraId="3984E947" w14:textId="6D41CDDF" w:rsidR="000B0421" w:rsidRPr="0069784D" w:rsidRDefault="00527CB1" w:rsidP="009C15CF">
      <w:pPr>
        <w:pStyle w:val="Heading3"/>
        <w:jc w:val="both"/>
        <w:rPr>
          <w:rFonts w:asciiTheme="minorHAnsi" w:hAnsiTheme="minorHAnsi" w:cstheme="minorHAnsi"/>
          <w:color w:val="auto"/>
          <w:sz w:val="28"/>
          <w:szCs w:val="28"/>
          <w:lang w:val="nl-BE"/>
        </w:rPr>
      </w:pPr>
      <w:bookmarkStart w:id="16" w:name="_Toc104134038"/>
      <w:r w:rsidRPr="0069784D">
        <w:rPr>
          <w:rFonts w:asciiTheme="minorHAnsi" w:hAnsiTheme="minorHAnsi" w:cstheme="minorHAnsi"/>
          <w:color w:val="auto"/>
          <w:sz w:val="28"/>
          <w:szCs w:val="28"/>
          <w:lang w:val="nl-BE"/>
        </w:rPr>
        <w:t xml:space="preserve">Artikel </w:t>
      </w:r>
      <w:r w:rsidR="000B0421" w:rsidRPr="0069784D">
        <w:rPr>
          <w:rFonts w:asciiTheme="minorHAnsi" w:hAnsiTheme="minorHAnsi" w:cstheme="minorHAnsi"/>
          <w:color w:val="auto"/>
          <w:sz w:val="28"/>
          <w:szCs w:val="28"/>
          <w:lang w:val="nl-BE"/>
        </w:rPr>
        <w:t>417/41</w:t>
      </w:r>
      <w:r w:rsidR="00172E85" w:rsidRPr="0069784D">
        <w:rPr>
          <w:rFonts w:asciiTheme="minorHAnsi" w:hAnsiTheme="minorHAnsi" w:cstheme="minorHAnsi"/>
          <w:color w:val="auto"/>
          <w:sz w:val="28"/>
          <w:szCs w:val="28"/>
          <w:lang w:val="nl-BE"/>
        </w:rPr>
        <w:t xml:space="preserve"> - </w:t>
      </w:r>
      <w:bookmarkEnd w:id="16"/>
      <w:r w:rsidRPr="0069784D">
        <w:rPr>
          <w:rFonts w:asciiTheme="minorHAnsi" w:hAnsiTheme="minorHAnsi" w:cstheme="minorHAnsi"/>
          <w:color w:val="000000"/>
          <w:sz w:val="28"/>
          <w:szCs w:val="28"/>
          <w:lang w:val="nl-BE"/>
        </w:rPr>
        <w:t>Aanzetten tot het plegen van ontucht of tot exploitatie van de prostitutie van een minderjarige in het openbaar of door enig reclamemiddel</w:t>
      </w:r>
    </w:p>
    <w:p w14:paraId="31C1E853" w14:textId="77777777" w:rsidR="00527CB1" w:rsidRPr="0069784D" w:rsidRDefault="00527CB1" w:rsidP="009C15CF">
      <w:pPr>
        <w:jc w:val="both"/>
        <w:rPr>
          <w:lang w:val="nl-BE"/>
        </w:rPr>
      </w:pPr>
    </w:p>
    <w:p w14:paraId="3AF61F69" w14:textId="754764CF" w:rsidR="000B0421" w:rsidRPr="0069784D" w:rsidRDefault="00527CB1" w:rsidP="009C15CF">
      <w:pPr>
        <w:jc w:val="both"/>
        <w:rPr>
          <w:lang w:val="nl-BE"/>
        </w:rPr>
      </w:pPr>
      <w:r w:rsidRPr="0069784D">
        <w:rPr>
          <w:lang w:val="nl-BE"/>
        </w:rPr>
        <w:t>Dit artikel vervangt</w:t>
      </w:r>
      <w:r w:rsidR="000B0421" w:rsidRPr="0069784D">
        <w:rPr>
          <w:lang w:val="nl-BE"/>
        </w:rPr>
        <w:t xml:space="preserve"> </w:t>
      </w:r>
      <w:r w:rsidRPr="0069784D">
        <w:rPr>
          <w:b/>
          <w:lang w:val="nl-BE"/>
        </w:rPr>
        <w:t>de vroegere artikelen 380</w:t>
      </w:r>
      <w:r w:rsidR="000B0421" w:rsidRPr="0069784D">
        <w:rPr>
          <w:b/>
          <w:lang w:val="nl-BE"/>
        </w:rPr>
        <w:t xml:space="preserve">bis </w:t>
      </w:r>
      <w:r w:rsidR="00447215" w:rsidRPr="0069784D">
        <w:rPr>
          <w:b/>
          <w:lang w:val="nl-BE"/>
        </w:rPr>
        <w:t xml:space="preserve">en </w:t>
      </w:r>
      <w:r w:rsidR="000B0421" w:rsidRPr="0069784D">
        <w:rPr>
          <w:b/>
          <w:lang w:val="nl-BE"/>
        </w:rPr>
        <w:t>380 ter</w:t>
      </w:r>
      <w:r w:rsidR="00181773" w:rsidRPr="0069784D">
        <w:rPr>
          <w:b/>
          <w:lang w:val="nl-BE"/>
        </w:rPr>
        <w:t>,</w:t>
      </w:r>
      <w:r w:rsidR="00172E85" w:rsidRPr="0069784D">
        <w:rPr>
          <w:b/>
          <w:lang w:val="nl-BE"/>
        </w:rPr>
        <w:t xml:space="preserve"> </w:t>
      </w:r>
      <w:r w:rsidR="00181773" w:rsidRPr="0069784D">
        <w:rPr>
          <w:b/>
          <w:lang w:val="nl-BE"/>
        </w:rPr>
        <w:t xml:space="preserve">§3, </w:t>
      </w:r>
      <w:r w:rsidRPr="0069784D">
        <w:rPr>
          <w:b/>
          <w:lang w:val="nl-BE"/>
        </w:rPr>
        <w:t>lid 2.</w:t>
      </w:r>
      <w:r w:rsidR="000B0421" w:rsidRPr="0069784D">
        <w:rPr>
          <w:lang w:val="nl-BE"/>
        </w:rPr>
        <w:t xml:space="preserve"> </w:t>
      </w:r>
    </w:p>
    <w:p w14:paraId="0F1FD816" w14:textId="5E14CBF7" w:rsidR="000B0421" w:rsidRPr="0069784D" w:rsidRDefault="00527CB1" w:rsidP="009C15CF">
      <w:pPr>
        <w:jc w:val="both"/>
        <w:rPr>
          <w:lang w:val="nl-BE"/>
        </w:rPr>
      </w:pPr>
      <w:r w:rsidRPr="0069784D">
        <w:rPr>
          <w:lang w:val="nl-BE"/>
        </w:rPr>
        <w:t>Meer in detail wordt het volgende bepaald</w:t>
      </w:r>
      <w:r w:rsidR="000B0421" w:rsidRPr="0069784D">
        <w:rPr>
          <w:lang w:val="nl-BE"/>
        </w:rPr>
        <w:t>:</w:t>
      </w:r>
    </w:p>
    <w:p w14:paraId="5605B642" w14:textId="78BD852A" w:rsidR="00447215" w:rsidRPr="0069784D" w:rsidRDefault="00447215" w:rsidP="009C15CF">
      <w:pPr>
        <w:jc w:val="both"/>
        <w:rPr>
          <w:rFonts w:cstheme="minorHAnsi"/>
          <w:i/>
          <w:iCs/>
          <w:color w:val="000000"/>
          <w:lang w:val="nl-BE"/>
        </w:rPr>
      </w:pPr>
      <w:r w:rsidRPr="0069784D">
        <w:rPr>
          <w:rFonts w:cstheme="minorHAnsi"/>
          <w:i/>
          <w:iCs/>
          <w:color w:val="000000"/>
          <w:lang w:val="nl-BE"/>
        </w:rPr>
        <w:t>“Aanzetten tot het plegen van ontucht of tot exploitatie van de prostitutie van een minderjarige in het openbaar of door enig reclamemiddel is:</w:t>
      </w:r>
    </w:p>
    <w:p w14:paraId="07933D4A" w14:textId="77777777" w:rsidR="00447215" w:rsidRPr="0069784D" w:rsidRDefault="00447215" w:rsidP="009C15CF">
      <w:pPr>
        <w:jc w:val="both"/>
        <w:rPr>
          <w:rFonts w:cstheme="minorHAnsi"/>
          <w:i/>
          <w:iCs/>
          <w:color w:val="000000"/>
          <w:lang w:val="nl-BE"/>
        </w:rPr>
      </w:pPr>
      <w:r w:rsidRPr="0069784D">
        <w:rPr>
          <w:rFonts w:cstheme="minorHAnsi"/>
          <w:i/>
          <w:iCs/>
          <w:color w:val="000000"/>
          <w:lang w:val="nl-BE"/>
        </w:rPr>
        <w:t>- het met welk middel ook in het openbaar de minderjarige tot ontucht aanzetten;</w:t>
      </w:r>
    </w:p>
    <w:p w14:paraId="3B4AFE6D" w14:textId="77777777" w:rsidR="00447215" w:rsidRPr="0069784D" w:rsidRDefault="00447215" w:rsidP="009C15CF">
      <w:pPr>
        <w:jc w:val="both"/>
        <w:rPr>
          <w:rFonts w:cstheme="minorHAnsi"/>
          <w:i/>
          <w:iCs/>
          <w:color w:val="000000"/>
          <w:lang w:val="nl-BE"/>
        </w:rPr>
      </w:pPr>
      <w:r w:rsidRPr="0069784D">
        <w:rPr>
          <w:rFonts w:cstheme="minorHAnsi"/>
          <w:i/>
          <w:iCs/>
          <w:color w:val="000000"/>
          <w:lang w:val="nl-BE"/>
        </w:rPr>
        <w:t>- het door enig reclamemiddel, impliciet of expliciet, aanzetten tot de exploitatie van de prostitutie van een minderjarige, of gebruik maken van zulke reclame naar aanleiding van een aanbod van diensten.</w:t>
      </w:r>
    </w:p>
    <w:p w14:paraId="75130DC6" w14:textId="77777777" w:rsidR="00447215" w:rsidRPr="0069784D" w:rsidRDefault="00447215" w:rsidP="009C15CF">
      <w:pPr>
        <w:jc w:val="both"/>
        <w:rPr>
          <w:lang w:val="nl-BE"/>
        </w:rPr>
      </w:pPr>
      <w:r w:rsidRPr="0069784D">
        <w:rPr>
          <w:rFonts w:cstheme="minorHAnsi"/>
          <w:i/>
          <w:iCs/>
          <w:color w:val="000000"/>
          <w:lang w:val="nl-BE"/>
        </w:rPr>
        <w:t>Dit misdrijf wordt bestraft met gevangenisstraf van zes maanden tot drie jaar en met geldboete van zesentwintig euro tot vijfhonderd euro."</w:t>
      </w:r>
      <w:r w:rsidRPr="0069784D">
        <w:rPr>
          <w:lang w:val="nl-BE"/>
        </w:rPr>
        <w:t xml:space="preserve"> </w:t>
      </w:r>
    </w:p>
    <w:p w14:paraId="53ADC36C" w14:textId="376CFB71" w:rsidR="000B0421" w:rsidRPr="002B0732" w:rsidRDefault="00447215" w:rsidP="009C15CF">
      <w:pPr>
        <w:jc w:val="both"/>
        <w:rPr>
          <w:lang w:val="nl-BE"/>
        </w:rPr>
      </w:pPr>
      <w:r w:rsidRPr="0069784D">
        <w:rPr>
          <w:lang w:val="nl-BE"/>
        </w:rPr>
        <w:t>Het vroegere artikel</w:t>
      </w:r>
      <w:r w:rsidR="00181773" w:rsidRPr="0069784D">
        <w:rPr>
          <w:lang w:val="nl-BE"/>
        </w:rPr>
        <w:t xml:space="preserve"> 380bis </w:t>
      </w:r>
      <w:r w:rsidR="000B0421" w:rsidRPr="0069784D">
        <w:rPr>
          <w:lang w:val="nl-BE"/>
        </w:rPr>
        <w:t>(</w:t>
      </w:r>
      <w:r w:rsidRPr="0069784D">
        <w:rPr>
          <w:lang w:val="nl-BE"/>
        </w:rPr>
        <w:t xml:space="preserve">vervangen door lid 1 van de nieuwe bepaling) voorzag in een gevangenisstraf van acht dagen tot drie maanden, </w:t>
      </w:r>
      <w:r w:rsidRPr="0069784D">
        <w:rPr>
          <w:u w:val="single"/>
          <w:lang w:val="nl-BE"/>
        </w:rPr>
        <w:t>maar verduidelijkte dat deze straf verdubbeld werd indien het misdrijf ten aanzien van een minderjarige gepleegd werd</w:t>
      </w:r>
      <w:r w:rsidRPr="0069784D">
        <w:rPr>
          <w:lang w:val="nl-BE"/>
        </w:rPr>
        <w:t xml:space="preserve">, terwijl het vroegere artikel </w:t>
      </w:r>
      <w:r w:rsidR="000B0421" w:rsidRPr="0069784D">
        <w:rPr>
          <w:lang w:val="nl-BE"/>
        </w:rPr>
        <w:t>380ter</w:t>
      </w:r>
      <w:r w:rsidR="00181773" w:rsidRPr="0069784D">
        <w:rPr>
          <w:lang w:val="nl-BE"/>
        </w:rPr>
        <w:t>,</w:t>
      </w:r>
      <w:r w:rsidR="000B0421" w:rsidRPr="0069784D">
        <w:rPr>
          <w:lang w:val="nl-BE"/>
        </w:rPr>
        <w:t xml:space="preserve"> §3,</w:t>
      </w:r>
      <w:r w:rsidR="00181773" w:rsidRPr="0069784D">
        <w:rPr>
          <w:lang w:val="nl-BE"/>
        </w:rPr>
        <w:t xml:space="preserve"> </w:t>
      </w:r>
      <w:r w:rsidRPr="0069784D">
        <w:rPr>
          <w:lang w:val="nl-BE"/>
        </w:rPr>
        <w:t>lid 2</w:t>
      </w:r>
      <w:r w:rsidR="000B0421" w:rsidRPr="0069784D">
        <w:rPr>
          <w:lang w:val="nl-BE"/>
        </w:rPr>
        <w:t xml:space="preserve"> (</w:t>
      </w:r>
      <w:r w:rsidRPr="0069784D">
        <w:rPr>
          <w:lang w:val="nl-BE"/>
        </w:rPr>
        <w:t>vervangen door lid 2 van de nieuwe bepaling</w:t>
      </w:r>
      <w:r w:rsidR="000B0421" w:rsidRPr="0069784D">
        <w:rPr>
          <w:lang w:val="nl-BE"/>
        </w:rPr>
        <w:t xml:space="preserve">) </w:t>
      </w:r>
      <w:r w:rsidRPr="0069784D">
        <w:rPr>
          <w:lang w:val="nl-BE"/>
        </w:rPr>
        <w:t xml:space="preserve">voorzag in een straf van één maand tot één jaar voor alle situaties die niet onder </w:t>
      </w:r>
      <w:r w:rsidRPr="002B0732">
        <w:rPr>
          <w:lang w:val="nl-BE"/>
        </w:rPr>
        <w:t>de</w:t>
      </w:r>
      <w:r w:rsidR="000B0421" w:rsidRPr="002B0732">
        <w:rPr>
          <w:lang w:val="nl-BE"/>
        </w:rPr>
        <w:t xml:space="preserve"> §§1 e</w:t>
      </w:r>
      <w:r w:rsidRPr="002B0732">
        <w:rPr>
          <w:lang w:val="nl-BE"/>
        </w:rPr>
        <w:t>n</w:t>
      </w:r>
      <w:r w:rsidR="000B0421" w:rsidRPr="002B0732">
        <w:rPr>
          <w:lang w:val="nl-BE"/>
        </w:rPr>
        <w:t xml:space="preserve"> 2</w:t>
      </w:r>
      <w:r w:rsidRPr="002B0732">
        <w:rPr>
          <w:lang w:val="nl-BE"/>
        </w:rPr>
        <w:t xml:space="preserve"> vielen</w:t>
      </w:r>
      <w:r w:rsidR="000B0421" w:rsidRPr="002B0732">
        <w:rPr>
          <w:lang w:val="nl-BE"/>
        </w:rPr>
        <w:t>.</w:t>
      </w:r>
    </w:p>
    <w:p w14:paraId="78F58E85" w14:textId="3CA7A84C" w:rsidR="00277AA0" w:rsidRPr="002B0732" w:rsidRDefault="00447215" w:rsidP="009C15CF">
      <w:pPr>
        <w:jc w:val="both"/>
        <w:rPr>
          <w:lang w:val="nl-BE"/>
        </w:rPr>
      </w:pPr>
      <w:r w:rsidRPr="002B0732">
        <w:rPr>
          <w:lang w:val="nl-BE"/>
        </w:rPr>
        <w:t xml:space="preserve">Deze nieuwe bepaling </w:t>
      </w:r>
      <w:r w:rsidRPr="002B0732">
        <w:rPr>
          <w:b/>
          <w:bCs/>
          <w:lang w:val="nl-BE"/>
        </w:rPr>
        <w:t>maakt dit onderscheid</w:t>
      </w:r>
      <w:r w:rsidRPr="002B0732">
        <w:rPr>
          <w:lang w:val="nl-BE"/>
        </w:rPr>
        <w:t xml:space="preserve"> </w:t>
      </w:r>
      <w:r w:rsidR="00F848F9" w:rsidRPr="002B0732">
        <w:rPr>
          <w:b/>
          <w:bCs/>
          <w:lang w:val="nl-BE"/>
        </w:rPr>
        <w:t>niet langer</w:t>
      </w:r>
      <w:r w:rsidR="00F848F9" w:rsidRPr="002B0732">
        <w:rPr>
          <w:lang w:val="nl-BE"/>
        </w:rPr>
        <w:t xml:space="preserve"> </w:t>
      </w:r>
      <w:r w:rsidRPr="002B0732">
        <w:rPr>
          <w:lang w:val="nl-BE"/>
        </w:rPr>
        <w:t xml:space="preserve">en bestraft beide gedragingen met een gevangenisstraf van zes maanden tot drie jaar, wat eveneens neerkomt op een verzwaring van de strafmaat. </w:t>
      </w:r>
    </w:p>
    <w:p w14:paraId="4C2EF700" w14:textId="06F03CB0" w:rsidR="000B0421" w:rsidRPr="002B0732" w:rsidRDefault="004025F9" w:rsidP="009C15CF">
      <w:pPr>
        <w:jc w:val="both"/>
        <w:rPr>
          <w:lang w:val="nl-BE"/>
        </w:rPr>
      </w:pPr>
      <w:r w:rsidRPr="002B0732">
        <w:rPr>
          <w:lang w:val="nl-BE"/>
        </w:rPr>
        <w:t>De bewoording</w:t>
      </w:r>
      <w:r w:rsidR="00F848F9" w:rsidRPr="002B0732">
        <w:rPr>
          <w:lang w:val="nl-BE"/>
        </w:rPr>
        <w:t>en</w:t>
      </w:r>
      <w:r w:rsidRPr="002B0732">
        <w:rPr>
          <w:lang w:val="nl-BE"/>
        </w:rPr>
        <w:t xml:space="preserve"> ‘in het openbaar’ </w:t>
      </w:r>
      <w:r w:rsidR="00F848F9" w:rsidRPr="002B0732">
        <w:rPr>
          <w:lang w:val="nl-BE"/>
        </w:rPr>
        <w:t xml:space="preserve">hebben </w:t>
      </w:r>
      <w:r w:rsidRPr="002B0732">
        <w:rPr>
          <w:lang w:val="nl-BE"/>
        </w:rPr>
        <w:t>betrekking op alle situaties die momenteel in artikel 444 van het Strafwetboek opgesomd worden, maar word</w:t>
      </w:r>
      <w:r w:rsidR="00F848F9" w:rsidRPr="002B0732">
        <w:rPr>
          <w:lang w:val="nl-BE"/>
        </w:rPr>
        <w:t>en</w:t>
      </w:r>
      <w:r w:rsidRPr="002B0732">
        <w:rPr>
          <w:lang w:val="nl-BE"/>
        </w:rPr>
        <w:t xml:space="preserve"> </w:t>
      </w:r>
      <w:r w:rsidR="00F848F9" w:rsidRPr="002B0732">
        <w:rPr>
          <w:lang w:val="nl-BE"/>
        </w:rPr>
        <w:t xml:space="preserve">daarenboven </w:t>
      </w:r>
      <w:r w:rsidRPr="002B0732">
        <w:rPr>
          <w:lang w:val="nl-BE"/>
        </w:rPr>
        <w:t>uitgebreid</w:t>
      </w:r>
      <w:r w:rsidR="00447215" w:rsidRPr="002B0732">
        <w:rPr>
          <w:rStyle w:val="FootnoteReference"/>
          <w:lang w:val="nl-BE"/>
        </w:rPr>
        <w:footnoteReference w:customMarkFollows="1" w:id="64"/>
        <w:t>64</w:t>
      </w:r>
      <w:r w:rsidRPr="002B0732">
        <w:rPr>
          <w:lang w:val="nl-BE"/>
        </w:rPr>
        <w:t xml:space="preserve">, </w:t>
      </w:r>
      <w:r w:rsidR="00F848F9" w:rsidRPr="002B0732">
        <w:rPr>
          <w:lang w:val="nl-BE"/>
        </w:rPr>
        <w:t xml:space="preserve">vermits </w:t>
      </w:r>
      <w:r w:rsidR="00F848F9" w:rsidRPr="002B0732">
        <w:rPr>
          <w:strike/>
          <w:lang w:val="nl-BE"/>
        </w:rPr>
        <w:t>v</w:t>
      </w:r>
      <w:r w:rsidRPr="002B0732">
        <w:rPr>
          <w:lang w:val="nl-BE"/>
        </w:rPr>
        <w:t xml:space="preserve"> de aanwezigheid van </w:t>
      </w:r>
      <w:r w:rsidRPr="002B0732">
        <w:rPr>
          <w:b/>
          <w:bCs/>
          <w:lang w:val="nl-BE"/>
        </w:rPr>
        <w:t>één derde</w:t>
      </w:r>
      <w:r w:rsidR="00F848F9" w:rsidRPr="002B0732">
        <w:rPr>
          <w:lang w:val="nl-BE"/>
        </w:rPr>
        <w:t xml:space="preserve"> in eender welke plaats</w:t>
      </w:r>
      <w:r w:rsidR="00F848F9" w:rsidRPr="002B0732">
        <w:rPr>
          <w:b/>
          <w:bCs/>
          <w:lang w:val="nl-BE"/>
        </w:rPr>
        <w:t xml:space="preserve"> </w:t>
      </w:r>
      <w:r w:rsidRPr="002B0732">
        <w:rPr>
          <w:lang w:val="nl-BE"/>
        </w:rPr>
        <w:t xml:space="preserve"> v</w:t>
      </w:r>
      <w:r w:rsidR="00F848F9" w:rsidRPr="002B0732">
        <w:rPr>
          <w:lang w:val="nl-BE"/>
        </w:rPr>
        <w:t>oortaan vol</w:t>
      </w:r>
      <w:r w:rsidRPr="002B0732">
        <w:rPr>
          <w:lang w:val="nl-BE"/>
        </w:rPr>
        <w:t>staat</w:t>
      </w:r>
      <w:r w:rsidR="00F848F9" w:rsidRPr="002B0732">
        <w:rPr>
          <w:lang w:val="nl-BE"/>
        </w:rPr>
        <w:t>.</w:t>
      </w:r>
      <w:r w:rsidRPr="002B0732">
        <w:rPr>
          <w:lang w:val="nl-BE"/>
        </w:rPr>
        <w:t xml:space="preserve"> </w:t>
      </w:r>
    </w:p>
    <w:p w14:paraId="14F5D271" w14:textId="4954CD94" w:rsidR="004025F9" w:rsidRPr="002B0732" w:rsidRDefault="004025F9" w:rsidP="009C15CF">
      <w:pPr>
        <w:jc w:val="both"/>
        <w:rPr>
          <w:lang w:val="nl-BE"/>
        </w:rPr>
      </w:pPr>
      <w:r w:rsidRPr="002B0732">
        <w:rPr>
          <w:lang w:val="nl-BE"/>
        </w:rPr>
        <w:t>Ook hier wordt de strafbaarstelling uitgebreid, aangezien het vroeger</w:t>
      </w:r>
      <w:r w:rsidR="00172E85" w:rsidRPr="002B0732">
        <w:rPr>
          <w:lang w:val="nl-BE"/>
        </w:rPr>
        <w:t>e</w:t>
      </w:r>
      <w:r w:rsidRPr="002B0732">
        <w:rPr>
          <w:lang w:val="nl-BE"/>
        </w:rPr>
        <w:t xml:space="preserve"> artikel 380bis betrekking had op woorden, gebaren of tekens, terwijl in de nieuwe wet sprake is van ‘eender welk middel’, </w:t>
      </w:r>
      <w:r w:rsidR="00F848F9" w:rsidRPr="002B0732">
        <w:rPr>
          <w:lang w:val="nl-BE"/>
        </w:rPr>
        <w:t xml:space="preserve">vanuit de optiek </w:t>
      </w:r>
      <w:r w:rsidRPr="002B0732">
        <w:rPr>
          <w:lang w:val="nl-BE"/>
        </w:rPr>
        <w:t xml:space="preserve">ook rekening met de nieuwe communicatiemiddelen te kunnen houden.   </w:t>
      </w:r>
    </w:p>
    <w:p w14:paraId="23053D89" w14:textId="6BCBE01D" w:rsidR="0055342A" w:rsidRPr="0069784D" w:rsidRDefault="004025F9" w:rsidP="009C15CF">
      <w:pPr>
        <w:jc w:val="both"/>
        <w:rPr>
          <w:lang w:val="nl-BE"/>
        </w:rPr>
      </w:pPr>
      <w:r w:rsidRPr="002B0732">
        <w:rPr>
          <w:lang w:val="nl-BE"/>
        </w:rPr>
        <w:t xml:space="preserve">Er kan opgemerkt worden dat de grens tussen het </w:t>
      </w:r>
      <w:r w:rsidR="00FB1218" w:rsidRPr="002B0732">
        <w:rPr>
          <w:lang w:val="nl-BE"/>
        </w:rPr>
        <w:t>aanzetten tot ontucht</w:t>
      </w:r>
      <w:r w:rsidRPr="002B0732">
        <w:rPr>
          <w:lang w:val="nl-BE"/>
        </w:rPr>
        <w:t xml:space="preserve"> en prostitutie en reclame maken </w:t>
      </w:r>
      <w:r w:rsidR="00FB1218" w:rsidRPr="002B0732">
        <w:rPr>
          <w:lang w:val="nl-BE"/>
        </w:rPr>
        <w:t xml:space="preserve">voor ontucht en prostitutie van een minderjarige zeer </w:t>
      </w:r>
      <w:r w:rsidR="00FB1218" w:rsidRPr="0069784D">
        <w:rPr>
          <w:lang w:val="nl-BE"/>
        </w:rPr>
        <w:t xml:space="preserve">dun kan zijn. </w:t>
      </w:r>
    </w:p>
    <w:p w14:paraId="6EE2521F" w14:textId="77777777" w:rsidR="00A76814" w:rsidRPr="0069784D" w:rsidRDefault="00A76814" w:rsidP="009C15CF">
      <w:pPr>
        <w:jc w:val="both"/>
        <w:rPr>
          <w:rFonts w:eastAsiaTheme="majorEastAsia" w:cstheme="minorHAnsi"/>
          <w:lang w:val="nl-BE"/>
        </w:rPr>
      </w:pPr>
    </w:p>
    <w:p w14:paraId="7B755409" w14:textId="1B9C2FCB" w:rsidR="000B0421" w:rsidRPr="0069784D" w:rsidRDefault="00527CB1" w:rsidP="009C15CF">
      <w:pPr>
        <w:pStyle w:val="Heading3"/>
        <w:jc w:val="both"/>
        <w:rPr>
          <w:rFonts w:asciiTheme="minorHAnsi" w:hAnsiTheme="minorHAnsi" w:cstheme="minorHAnsi"/>
          <w:color w:val="auto"/>
          <w:sz w:val="28"/>
          <w:szCs w:val="28"/>
          <w:lang w:val="nl-BE"/>
        </w:rPr>
      </w:pPr>
      <w:bookmarkStart w:id="17" w:name="_Toc104134039"/>
      <w:r w:rsidRPr="0069784D">
        <w:rPr>
          <w:rFonts w:asciiTheme="minorHAnsi" w:hAnsiTheme="minorHAnsi" w:cstheme="minorHAnsi"/>
          <w:color w:val="auto"/>
          <w:sz w:val="28"/>
          <w:szCs w:val="28"/>
          <w:lang w:val="nl-BE"/>
        </w:rPr>
        <w:t xml:space="preserve">Artikel </w:t>
      </w:r>
      <w:r w:rsidR="000B0421" w:rsidRPr="0069784D">
        <w:rPr>
          <w:rFonts w:asciiTheme="minorHAnsi" w:hAnsiTheme="minorHAnsi" w:cstheme="minorHAnsi"/>
          <w:color w:val="auto"/>
          <w:sz w:val="28"/>
          <w:szCs w:val="28"/>
          <w:lang w:val="nl-BE"/>
        </w:rPr>
        <w:t>417/42</w:t>
      </w:r>
      <w:r w:rsidR="00A76814" w:rsidRPr="0069784D">
        <w:rPr>
          <w:rFonts w:asciiTheme="minorHAnsi" w:hAnsiTheme="minorHAnsi" w:cstheme="minorHAnsi"/>
          <w:color w:val="auto"/>
          <w:sz w:val="28"/>
          <w:szCs w:val="28"/>
          <w:lang w:val="nl-BE"/>
        </w:rPr>
        <w:t xml:space="preserve">: </w:t>
      </w:r>
      <w:bookmarkEnd w:id="17"/>
      <w:r w:rsidRPr="0069784D">
        <w:rPr>
          <w:rFonts w:asciiTheme="minorHAnsi" w:hAnsiTheme="minorHAnsi" w:cstheme="minorHAnsi"/>
          <w:color w:val="auto"/>
          <w:sz w:val="28"/>
          <w:szCs w:val="28"/>
          <w:lang w:val="nl-BE"/>
        </w:rPr>
        <w:t>Verbeurdverklaring van het instrument van het misdrijf</w:t>
      </w:r>
      <w:r w:rsidR="00A76814" w:rsidRPr="0069784D">
        <w:rPr>
          <w:rFonts w:asciiTheme="minorHAnsi" w:hAnsiTheme="minorHAnsi" w:cstheme="minorHAnsi"/>
          <w:color w:val="auto"/>
          <w:sz w:val="28"/>
          <w:szCs w:val="28"/>
          <w:lang w:val="nl-BE"/>
        </w:rPr>
        <w:t xml:space="preserve"> </w:t>
      </w:r>
    </w:p>
    <w:p w14:paraId="2F62E0C8" w14:textId="198E443A" w:rsidR="00FB1218" w:rsidRPr="0069784D" w:rsidRDefault="00FB1218" w:rsidP="009C15CF">
      <w:pPr>
        <w:jc w:val="both"/>
        <w:rPr>
          <w:lang w:val="nl-BE"/>
        </w:rPr>
      </w:pPr>
    </w:p>
    <w:p w14:paraId="0DA9F265" w14:textId="771B2960" w:rsidR="0002514B" w:rsidRPr="0069784D" w:rsidRDefault="00FB1218" w:rsidP="009C15CF">
      <w:pPr>
        <w:jc w:val="both"/>
        <w:rPr>
          <w:strike/>
          <w:lang w:val="nl-BE"/>
        </w:rPr>
      </w:pPr>
      <w:r w:rsidRPr="0069784D">
        <w:rPr>
          <w:lang w:val="nl-BE"/>
        </w:rPr>
        <w:t>Dit artikel vervangt het vroegere artikel</w:t>
      </w:r>
      <w:r w:rsidR="0002514B" w:rsidRPr="0069784D">
        <w:rPr>
          <w:lang w:val="nl-BE"/>
        </w:rPr>
        <w:t xml:space="preserve"> 382ter. </w:t>
      </w:r>
    </w:p>
    <w:p w14:paraId="4BC4BE12" w14:textId="1083E138" w:rsidR="0002514B" w:rsidRPr="0069784D" w:rsidRDefault="0002514B" w:rsidP="009C15CF">
      <w:pPr>
        <w:jc w:val="both"/>
        <w:rPr>
          <w:lang w:val="nl-BE"/>
        </w:rPr>
      </w:pPr>
    </w:p>
    <w:p w14:paraId="2E63E8E7" w14:textId="77777777" w:rsidR="0001590A" w:rsidRPr="0069784D" w:rsidRDefault="0001590A" w:rsidP="009C15CF">
      <w:pPr>
        <w:jc w:val="both"/>
        <w:rPr>
          <w:lang w:val="nl-BE"/>
        </w:rPr>
      </w:pPr>
    </w:p>
    <w:tbl>
      <w:tblPr>
        <w:tblStyle w:val="TableGrid"/>
        <w:tblW w:w="0" w:type="auto"/>
        <w:tblLook w:val="04A0" w:firstRow="1" w:lastRow="0" w:firstColumn="1" w:lastColumn="0" w:noHBand="0" w:noVBand="1"/>
      </w:tblPr>
      <w:tblGrid>
        <w:gridCol w:w="4508"/>
        <w:gridCol w:w="4508"/>
      </w:tblGrid>
      <w:tr w:rsidR="0002514B" w:rsidRPr="0069784D" w14:paraId="123ECEC4" w14:textId="77777777" w:rsidTr="0002514B">
        <w:tc>
          <w:tcPr>
            <w:tcW w:w="4508" w:type="dxa"/>
            <w:tcBorders>
              <w:top w:val="single" w:sz="4" w:space="0" w:color="auto"/>
              <w:left w:val="single" w:sz="4" w:space="0" w:color="auto"/>
              <w:bottom w:val="single" w:sz="4" w:space="0" w:color="auto"/>
              <w:right w:val="single" w:sz="4" w:space="0" w:color="auto"/>
            </w:tcBorders>
            <w:hideMark/>
          </w:tcPr>
          <w:p w14:paraId="1102395C" w14:textId="77777777" w:rsidR="0002514B" w:rsidRDefault="00080C42" w:rsidP="009C15CF">
            <w:pPr>
              <w:jc w:val="both"/>
              <w:rPr>
                <w:lang w:val="fr-BE"/>
              </w:rPr>
            </w:pPr>
            <w:r w:rsidRPr="0069784D">
              <w:rPr>
                <w:lang w:val="fr-BE"/>
              </w:rPr>
              <w:t>Vroegere bepaling</w:t>
            </w:r>
            <w:r w:rsidR="0002514B" w:rsidRPr="0069784D">
              <w:rPr>
                <w:lang w:val="fr-BE"/>
              </w:rPr>
              <w:t xml:space="preserve"> 382ter</w:t>
            </w:r>
          </w:p>
          <w:p w14:paraId="55BC86EA" w14:textId="6C2CE2B5" w:rsidR="002C433B" w:rsidRPr="0069784D" w:rsidRDefault="002C433B" w:rsidP="009C15CF">
            <w:pPr>
              <w:jc w:val="both"/>
              <w:rPr>
                <w:lang w:val="fr-BE"/>
              </w:rPr>
            </w:pPr>
          </w:p>
        </w:tc>
        <w:tc>
          <w:tcPr>
            <w:tcW w:w="4508" w:type="dxa"/>
            <w:tcBorders>
              <w:top w:val="single" w:sz="4" w:space="0" w:color="auto"/>
              <w:left w:val="single" w:sz="4" w:space="0" w:color="auto"/>
              <w:bottom w:val="single" w:sz="4" w:space="0" w:color="auto"/>
              <w:right w:val="single" w:sz="4" w:space="0" w:color="auto"/>
            </w:tcBorders>
            <w:hideMark/>
          </w:tcPr>
          <w:p w14:paraId="3C9098B3" w14:textId="6A04275D" w:rsidR="0002514B" w:rsidRPr="0069784D" w:rsidRDefault="00080C42" w:rsidP="009C15CF">
            <w:pPr>
              <w:jc w:val="both"/>
              <w:rPr>
                <w:lang w:val="fr-BE"/>
              </w:rPr>
            </w:pPr>
            <w:r w:rsidRPr="0069784D">
              <w:rPr>
                <w:lang w:val="fr-BE"/>
              </w:rPr>
              <w:t>Nieuwe bepaling</w:t>
            </w:r>
            <w:r w:rsidR="0002514B" w:rsidRPr="0069784D">
              <w:rPr>
                <w:lang w:val="fr-BE"/>
              </w:rPr>
              <w:t xml:space="preserve"> 417/42</w:t>
            </w:r>
          </w:p>
        </w:tc>
      </w:tr>
      <w:tr w:rsidR="0002514B" w:rsidRPr="001C6BF9" w14:paraId="6306189C" w14:textId="77777777" w:rsidTr="0002514B">
        <w:tc>
          <w:tcPr>
            <w:tcW w:w="4508" w:type="dxa"/>
            <w:tcBorders>
              <w:top w:val="single" w:sz="4" w:space="0" w:color="auto"/>
              <w:left w:val="single" w:sz="4" w:space="0" w:color="auto"/>
              <w:bottom w:val="single" w:sz="4" w:space="0" w:color="auto"/>
              <w:right w:val="single" w:sz="4" w:space="0" w:color="auto"/>
            </w:tcBorders>
          </w:tcPr>
          <w:p w14:paraId="624BF397" w14:textId="77777777" w:rsidR="00080C42" w:rsidRPr="0069784D" w:rsidRDefault="00080C42" w:rsidP="009C15CF">
            <w:pPr>
              <w:jc w:val="both"/>
              <w:rPr>
                <w:rFonts w:cstheme="minorHAnsi"/>
                <w:i/>
                <w:iCs/>
                <w:color w:val="000000"/>
                <w:lang w:val="nl-BE"/>
              </w:rPr>
            </w:pPr>
            <w:r w:rsidRPr="0069784D">
              <w:rPr>
                <w:rFonts w:cstheme="minorHAnsi"/>
                <w:i/>
                <w:iCs/>
                <w:color w:val="000000"/>
                <w:lang w:val="nl-BE"/>
              </w:rPr>
              <w:t xml:space="preserve">De in artikel 42, 1°, bedoelde bijzondere verbeurdverklaring wordt toegepast zelfs wanneer de zaken waarop zij betrekking heeft, niet het eigendom van de veroordeelde zijn, zonder dat deze verbeurdverklaring evenwel afbreuk kan doen aan de rechten van de derden op de goederen die verbeurd zouden kunnen worden verklaard. </w:t>
            </w:r>
          </w:p>
          <w:p w14:paraId="0A454CD5" w14:textId="77777777" w:rsidR="00080C42" w:rsidRPr="0069784D" w:rsidRDefault="00080C42" w:rsidP="009C15CF">
            <w:pPr>
              <w:jc w:val="both"/>
              <w:rPr>
                <w:rFonts w:cstheme="minorHAnsi"/>
                <w:i/>
                <w:iCs/>
                <w:color w:val="000000"/>
                <w:lang w:val="nl-BE"/>
              </w:rPr>
            </w:pPr>
            <w:r w:rsidRPr="0069784D">
              <w:rPr>
                <w:rFonts w:cstheme="minorHAnsi"/>
                <w:i/>
                <w:iCs/>
                <w:color w:val="000000"/>
                <w:lang w:val="nl-BE"/>
              </w:rPr>
              <w:t>Zij moet in dezelfde omstandigheden ook worden toegepast op het roerend goed, het deel ervan, het onroerend goed, de kamer of enige andere ruimte.</w:t>
            </w:r>
          </w:p>
          <w:p w14:paraId="19340C58" w14:textId="77777777" w:rsidR="00080C42" w:rsidRPr="0069784D" w:rsidRDefault="00080C42" w:rsidP="009C15CF">
            <w:pPr>
              <w:jc w:val="both"/>
              <w:rPr>
                <w:rFonts w:cstheme="minorHAnsi"/>
                <w:i/>
                <w:iCs/>
                <w:color w:val="000000"/>
                <w:lang w:val="nl-BE"/>
              </w:rPr>
            </w:pPr>
            <w:r w:rsidRPr="0069784D">
              <w:rPr>
                <w:rFonts w:cstheme="minorHAnsi"/>
                <w:i/>
                <w:iCs/>
                <w:color w:val="000000"/>
                <w:lang w:val="nl-BE"/>
              </w:rPr>
              <w:t>Ze kan ook worden toegepast op de tegenwaarde van deze roerende of onroerende goederen die werden vervreemd tussen het tijdstip waarop het misdrijf werd gepleegd en de definitieve rechterlijke beslissing.</w:t>
            </w:r>
          </w:p>
          <w:p w14:paraId="0858545D" w14:textId="5B1D96EE" w:rsidR="0002514B" w:rsidRPr="0069784D" w:rsidRDefault="00080C42" w:rsidP="009C15CF">
            <w:pPr>
              <w:jc w:val="both"/>
              <w:rPr>
                <w:rFonts w:cstheme="minorHAnsi"/>
                <w:i/>
                <w:iCs/>
                <w:lang w:val="nl-BE"/>
              </w:rPr>
            </w:pPr>
            <w:r w:rsidRPr="0069784D">
              <w:rPr>
                <w:rFonts w:cstheme="minorHAnsi"/>
                <w:i/>
                <w:iCs/>
                <w:color w:val="000000"/>
                <w:lang w:val="nl-BE"/>
              </w:rPr>
              <w:t>In geval van beslag op een onroerend goed, wordt gehandeld overeenkomstig de vormvoorschriften van artikel 35bis van het Wetboek van strafvordering.</w:t>
            </w:r>
          </w:p>
        </w:tc>
        <w:tc>
          <w:tcPr>
            <w:tcW w:w="4508" w:type="dxa"/>
            <w:tcBorders>
              <w:top w:val="single" w:sz="4" w:space="0" w:color="auto"/>
              <w:left w:val="single" w:sz="4" w:space="0" w:color="auto"/>
              <w:bottom w:val="single" w:sz="4" w:space="0" w:color="auto"/>
              <w:right w:val="single" w:sz="4" w:space="0" w:color="auto"/>
            </w:tcBorders>
            <w:hideMark/>
          </w:tcPr>
          <w:p w14:paraId="6316A64D" w14:textId="77777777" w:rsidR="00080C42" w:rsidRPr="0069784D" w:rsidRDefault="00080C42" w:rsidP="009C15CF">
            <w:pPr>
              <w:jc w:val="both"/>
              <w:rPr>
                <w:rFonts w:cstheme="minorHAnsi"/>
                <w:i/>
                <w:iCs/>
                <w:color w:val="000000"/>
                <w:lang w:val="nl-BE"/>
              </w:rPr>
            </w:pPr>
            <w:r w:rsidRPr="0069784D">
              <w:rPr>
                <w:rFonts w:cstheme="minorHAnsi"/>
                <w:i/>
                <w:iCs/>
                <w:color w:val="000000"/>
                <w:lang w:val="nl-BE"/>
              </w:rPr>
              <w:t>In afwijking van artikel 42, 1°, worden de zaken die gediend hebben of bestemd waren tot het plegen van de misdrijven omschreven in deze onderafdeling verbeurd verklaard, ook al zijn ze geen eigendom van de veroordeelde, zonder dat deze verbeurdverklaring evenwel afbreuk doet aan de rechten die derden kunnen laten gelden op die goederen.</w:t>
            </w:r>
          </w:p>
          <w:p w14:paraId="58DAF56C" w14:textId="2F7CD57B" w:rsidR="0002514B" w:rsidRPr="0069784D" w:rsidRDefault="00080C42" w:rsidP="009C15CF">
            <w:pPr>
              <w:jc w:val="both"/>
              <w:rPr>
                <w:rFonts w:cstheme="minorHAnsi"/>
                <w:i/>
                <w:iCs/>
                <w:lang w:val="nl-BE"/>
              </w:rPr>
            </w:pPr>
            <w:r w:rsidRPr="0069784D">
              <w:rPr>
                <w:rFonts w:cstheme="minorHAnsi"/>
                <w:i/>
                <w:iCs/>
                <w:color w:val="000000"/>
                <w:lang w:val="nl-BE"/>
              </w:rPr>
              <w:t>De verbeurdverklaring wordt eveneens toegepast, onder dezelfde voorwaarden, op de onroerende goederen of gedeelten ervan die gediend hebben of bestemd waren tot het plegen van het misdrijf.</w:t>
            </w:r>
          </w:p>
        </w:tc>
      </w:tr>
    </w:tbl>
    <w:p w14:paraId="7BEAF37B" w14:textId="77777777" w:rsidR="0002514B" w:rsidRPr="0069784D" w:rsidRDefault="0002514B" w:rsidP="009C15CF">
      <w:pPr>
        <w:jc w:val="both"/>
        <w:rPr>
          <w:lang w:val="nl-BE"/>
        </w:rPr>
      </w:pPr>
    </w:p>
    <w:p w14:paraId="7F8BBB94" w14:textId="176EB3C8" w:rsidR="0002514B" w:rsidRPr="002B0732" w:rsidRDefault="00080C42" w:rsidP="009C15CF">
      <w:pPr>
        <w:jc w:val="both"/>
        <w:rPr>
          <w:lang w:val="nl-BE"/>
        </w:rPr>
      </w:pPr>
      <w:r w:rsidRPr="0069784D">
        <w:rPr>
          <w:lang w:val="nl-BE"/>
        </w:rPr>
        <w:t>Er kan een aantal verschillen opgemerkt worden</w:t>
      </w:r>
      <w:r w:rsidR="0002514B" w:rsidRPr="0069784D">
        <w:rPr>
          <w:lang w:val="nl-BE"/>
        </w:rPr>
        <w:t xml:space="preserve">: </w:t>
      </w:r>
    </w:p>
    <w:p w14:paraId="2EA80D62" w14:textId="1ECBD86A" w:rsidR="0002514B" w:rsidRPr="002B0732" w:rsidRDefault="00080C42" w:rsidP="009C15CF">
      <w:pPr>
        <w:pStyle w:val="ListParagraph"/>
        <w:numPr>
          <w:ilvl w:val="0"/>
          <w:numId w:val="18"/>
        </w:numPr>
        <w:spacing w:line="256" w:lineRule="auto"/>
        <w:jc w:val="both"/>
        <w:rPr>
          <w:lang w:val="nl-BE"/>
        </w:rPr>
      </w:pPr>
      <w:r w:rsidRPr="002B0732">
        <w:rPr>
          <w:lang w:val="nl-BE"/>
        </w:rPr>
        <w:t xml:space="preserve">De vroegere bepaling maakte </w:t>
      </w:r>
      <w:r w:rsidR="00817777" w:rsidRPr="002B0732">
        <w:rPr>
          <w:lang w:val="nl-BE"/>
        </w:rPr>
        <w:t xml:space="preserve">zowel voor feiten van pooierschap </w:t>
      </w:r>
      <w:r w:rsidR="003E60CB" w:rsidRPr="002B0732">
        <w:rPr>
          <w:lang w:val="nl-BE"/>
        </w:rPr>
        <w:t>over</w:t>
      </w:r>
      <w:r w:rsidR="00817777" w:rsidRPr="002B0732">
        <w:rPr>
          <w:lang w:val="nl-BE"/>
        </w:rPr>
        <w:t xml:space="preserve"> minderjarigen als </w:t>
      </w:r>
      <w:r w:rsidR="003E60CB" w:rsidRPr="002B0732">
        <w:rPr>
          <w:lang w:val="nl-BE"/>
        </w:rPr>
        <w:t xml:space="preserve">over </w:t>
      </w:r>
      <w:r w:rsidR="00817777" w:rsidRPr="002B0732">
        <w:rPr>
          <w:lang w:val="nl-BE"/>
        </w:rPr>
        <w:t>meerderjarigen een</w:t>
      </w:r>
      <w:r w:rsidRPr="002B0732">
        <w:rPr>
          <w:lang w:val="nl-BE"/>
        </w:rPr>
        <w:t xml:space="preserve"> beslag op onroerend go</w:t>
      </w:r>
      <w:r w:rsidR="00A90CA8" w:rsidRPr="002B0732">
        <w:rPr>
          <w:lang w:val="nl-BE"/>
        </w:rPr>
        <w:t>e</w:t>
      </w:r>
      <w:r w:rsidRPr="002B0732">
        <w:rPr>
          <w:lang w:val="nl-BE"/>
        </w:rPr>
        <w:t>d mogelijk</w:t>
      </w:r>
      <w:r w:rsidR="00A90CA8" w:rsidRPr="002B0732">
        <w:rPr>
          <w:lang w:val="nl-BE"/>
        </w:rPr>
        <w:t xml:space="preserve">. De bepalingen inzake pooierschap van minderjarigen en meerderjarigen worden voortaan gesplitst, waarbij de wetgever niet langer voorziet in </w:t>
      </w:r>
      <w:r w:rsidR="003E60CB" w:rsidRPr="002B0732">
        <w:rPr>
          <w:lang w:val="nl-BE"/>
        </w:rPr>
        <w:t xml:space="preserve">deze </w:t>
      </w:r>
      <w:r w:rsidR="00A90CA8" w:rsidRPr="002B0732">
        <w:rPr>
          <w:lang w:val="nl-BE"/>
        </w:rPr>
        <w:t xml:space="preserve">mogelijkheid van pooierschap </w:t>
      </w:r>
      <w:r w:rsidR="003E60CB" w:rsidRPr="002B0732">
        <w:rPr>
          <w:lang w:val="nl-BE"/>
        </w:rPr>
        <w:t xml:space="preserve">over </w:t>
      </w:r>
      <w:r w:rsidR="00A90CA8" w:rsidRPr="002B0732">
        <w:rPr>
          <w:lang w:val="nl-BE"/>
        </w:rPr>
        <w:t xml:space="preserve">meerderjarigen, zonder dat evenwel duidelijk is waarom. Niettemin blijft dit mogelijk bij vervolgingen wegens mensenhandel met seksuele doeleinden (ten aanzien van minder- en meerderjarigen) overeenkomstig artikel </w:t>
      </w:r>
      <w:r w:rsidR="0002514B" w:rsidRPr="002B0732">
        <w:rPr>
          <w:lang w:val="nl-BE"/>
        </w:rPr>
        <w:t>433novies</w:t>
      </w:r>
      <w:r w:rsidR="00A90CA8" w:rsidRPr="002B0732">
        <w:rPr>
          <w:lang w:val="nl-BE"/>
        </w:rPr>
        <w:t xml:space="preserve">, </w:t>
      </w:r>
      <w:r w:rsidR="0002514B" w:rsidRPr="002B0732">
        <w:rPr>
          <w:lang w:val="nl-BE"/>
        </w:rPr>
        <w:t xml:space="preserve">§6 </w:t>
      </w:r>
      <w:r w:rsidR="00A90CA8" w:rsidRPr="002B0732">
        <w:rPr>
          <w:lang w:val="nl-BE"/>
        </w:rPr>
        <w:t>van het Strafwetboek, dat niet aangepast werd</w:t>
      </w:r>
      <w:r w:rsidR="0002514B" w:rsidRPr="002B0732">
        <w:rPr>
          <w:lang w:val="nl-BE"/>
        </w:rPr>
        <w:t>.</w:t>
      </w:r>
    </w:p>
    <w:p w14:paraId="001642BF" w14:textId="0FB9F575" w:rsidR="0002514B" w:rsidRPr="0069784D" w:rsidRDefault="00A90CA8" w:rsidP="009C15CF">
      <w:pPr>
        <w:pStyle w:val="ListParagraph"/>
        <w:numPr>
          <w:ilvl w:val="0"/>
          <w:numId w:val="18"/>
        </w:numPr>
        <w:spacing w:line="256" w:lineRule="auto"/>
        <w:jc w:val="both"/>
        <w:rPr>
          <w:lang w:val="nl-BE"/>
        </w:rPr>
      </w:pPr>
      <w:r w:rsidRPr="002B0732">
        <w:rPr>
          <w:lang w:val="nl-BE"/>
        </w:rPr>
        <w:t xml:space="preserve">De nieuwe wet </w:t>
      </w:r>
      <w:r w:rsidR="00817777" w:rsidRPr="002B0732">
        <w:rPr>
          <w:lang w:val="nl-BE"/>
        </w:rPr>
        <w:t>maakt het</w:t>
      </w:r>
      <w:r w:rsidRPr="002B0732">
        <w:rPr>
          <w:lang w:val="nl-BE"/>
        </w:rPr>
        <w:t xml:space="preserve"> niet langer </w:t>
      </w:r>
      <w:r w:rsidR="00817777" w:rsidRPr="002B0732">
        <w:rPr>
          <w:lang w:val="nl-BE"/>
        </w:rPr>
        <w:t>mogelijk</w:t>
      </w:r>
      <w:r w:rsidRPr="002B0732">
        <w:rPr>
          <w:lang w:val="nl-BE"/>
        </w:rPr>
        <w:t xml:space="preserve"> om deze verbeurdverklaring op de tegenwaarde van de goederen</w:t>
      </w:r>
      <w:r w:rsidR="00817777" w:rsidRPr="002B0732">
        <w:rPr>
          <w:lang w:val="nl-BE"/>
        </w:rPr>
        <w:t xml:space="preserve"> toe te passen</w:t>
      </w:r>
      <w:r w:rsidRPr="002B0732">
        <w:rPr>
          <w:lang w:val="nl-BE"/>
        </w:rPr>
        <w:t xml:space="preserve">, wat problemen zal stellen bij goederen die vervreemd werden alvorens ze verbeurdverklaard worden. </w:t>
      </w:r>
      <w:r w:rsidR="00DA3178" w:rsidRPr="002B0732">
        <w:rPr>
          <w:lang w:val="nl-BE"/>
        </w:rPr>
        <w:t xml:space="preserve">Het is dus van primordiaal belang erop toe te zien dat goederen die verbeurdverklaard </w:t>
      </w:r>
      <w:r w:rsidR="003E60CB" w:rsidRPr="002B0732">
        <w:rPr>
          <w:lang w:val="nl-BE"/>
        </w:rPr>
        <w:t xml:space="preserve">kunnen </w:t>
      </w:r>
      <w:r w:rsidR="00DA3178" w:rsidRPr="002B0732">
        <w:rPr>
          <w:lang w:val="nl-BE"/>
        </w:rPr>
        <w:t xml:space="preserve">worden ook in beslag genomen worden. </w:t>
      </w:r>
      <w:r w:rsidRPr="002B0732">
        <w:rPr>
          <w:lang w:val="nl-BE"/>
        </w:rPr>
        <w:t>Het blijft</w:t>
      </w:r>
      <w:r w:rsidR="00817777" w:rsidRPr="002B0732">
        <w:rPr>
          <w:lang w:val="nl-BE"/>
        </w:rPr>
        <w:t xml:space="preserve"> alleszins</w:t>
      </w:r>
      <w:r w:rsidRPr="002B0732">
        <w:rPr>
          <w:lang w:val="nl-BE"/>
        </w:rPr>
        <w:t xml:space="preserve"> mogelijk deze verbeurdverklaring op de </w:t>
      </w:r>
      <w:r w:rsidRPr="0069784D">
        <w:rPr>
          <w:lang w:val="nl-BE"/>
        </w:rPr>
        <w:t xml:space="preserve">tegenwaarde van de goederen </w:t>
      </w:r>
      <w:r w:rsidR="00817777" w:rsidRPr="0069784D">
        <w:rPr>
          <w:lang w:val="nl-BE"/>
        </w:rPr>
        <w:t>op te leggen</w:t>
      </w:r>
      <w:r w:rsidRPr="0069784D">
        <w:rPr>
          <w:lang w:val="nl-BE"/>
        </w:rPr>
        <w:t xml:space="preserve"> overeenkomstig artikel </w:t>
      </w:r>
      <w:r w:rsidR="0002514B" w:rsidRPr="0069784D">
        <w:rPr>
          <w:lang w:val="nl-BE"/>
        </w:rPr>
        <w:t>433novies</w:t>
      </w:r>
      <w:r w:rsidRPr="0069784D">
        <w:rPr>
          <w:lang w:val="nl-BE"/>
        </w:rPr>
        <w:t>,</w:t>
      </w:r>
      <w:r w:rsidR="0002514B" w:rsidRPr="0069784D">
        <w:rPr>
          <w:lang w:val="nl-BE"/>
        </w:rPr>
        <w:t xml:space="preserve"> §6 </w:t>
      </w:r>
      <w:r w:rsidRPr="0069784D">
        <w:rPr>
          <w:lang w:val="nl-BE"/>
        </w:rPr>
        <w:t>van het Strafwetboek</w:t>
      </w:r>
      <w:r w:rsidR="0002514B" w:rsidRPr="0069784D">
        <w:rPr>
          <w:lang w:val="nl-BE"/>
        </w:rPr>
        <w:t>.</w:t>
      </w:r>
    </w:p>
    <w:p w14:paraId="710B3A34" w14:textId="5A804DB6" w:rsidR="0002514B" w:rsidRPr="0069784D" w:rsidRDefault="00DA3178" w:rsidP="009C15CF">
      <w:pPr>
        <w:pStyle w:val="ListParagraph"/>
        <w:numPr>
          <w:ilvl w:val="0"/>
          <w:numId w:val="18"/>
        </w:numPr>
        <w:spacing w:line="256" w:lineRule="auto"/>
        <w:jc w:val="both"/>
        <w:rPr>
          <w:color w:val="5B9BD5" w:themeColor="accent1"/>
          <w:lang w:val="nl-BE"/>
        </w:rPr>
      </w:pPr>
      <w:r w:rsidRPr="0069784D">
        <w:rPr>
          <w:lang w:val="nl-BE"/>
        </w:rPr>
        <w:t xml:space="preserve">De nieuwe wet verwijst niet langer naar artikel </w:t>
      </w:r>
      <w:r w:rsidR="0002514B" w:rsidRPr="0069784D">
        <w:rPr>
          <w:lang w:val="nl-BE"/>
        </w:rPr>
        <w:t xml:space="preserve">35bis </w:t>
      </w:r>
      <w:r w:rsidRPr="0069784D">
        <w:rPr>
          <w:lang w:val="nl-BE"/>
        </w:rPr>
        <w:t>van het Wetboek van Strafvordering, dat in een aantal op straffe van nietigheid voorgeschreven formaliteiten voorziet die gebaseerd zijn op inbeslagnames van “</w:t>
      </w:r>
      <w:r w:rsidRPr="0069784D">
        <w:rPr>
          <w:rFonts w:cstheme="minorHAnsi"/>
          <w:color w:val="000000"/>
          <w:lang w:val="nl-BE"/>
        </w:rPr>
        <w:t xml:space="preserve">zaken die het uit het misdrijf verkregen vermogensvoordeel schijnen te vormen.” De verwijzing naar artikel 35bis van het Wetboek van Strafvordering </w:t>
      </w:r>
      <w:r w:rsidRPr="0069784D">
        <w:rPr>
          <w:rFonts w:cstheme="minorHAnsi"/>
          <w:color w:val="000000"/>
          <w:lang w:val="nl-BE"/>
        </w:rPr>
        <w:lastRenderedPageBreak/>
        <w:t>wordt daarentegen behouden in de bepalingen inzake mensenhandel uit artikel</w:t>
      </w:r>
      <w:r w:rsidRPr="0069784D">
        <w:rPr>
          <w:lang w:val="nl-BE"/>
        </w:rPr>
        <w:t xml:space="preserve"> </w:t>
      </w:r>
      <w:r w:rsidR="0002514B" w:rsidRPr="0069784D">
        <w:rPr>
          <w:lang w:val="nl-BE"/>
        </w:rPr>
        <w:t xml:space="preserve">433novies §7 </w:t>
      </w:r>
      <w:r w:rsidRPr="0069784D">
        <w:rPr>
          <w:lang w:val="nl-BE"/>
        </w:rPr>
        <w:t>van het Strafwetboek, dat niet aangepast werd.</w:t>
      </w:r>
    </w:p>
    <w:p w14:paraId="1D99C028" w14:textId="77777777" w:rsidR="00DA3178" w:rsidRPr="0069784D" w:rsidRDefault="00DA3178" w:rsidP="009C15CF">
      <w:pPr>
        <w:pStyle w:val="ListParagraph"/>
        <w:spacing w:line="256" w:lineRule="auto"/>
        <w:jc w:val="both"/>
        <w:rPr>
          <w:color w:val="5B9BD5" w:themeColor="accent1"/>
          <w:lang w:val="nl-BE"/>
        </w:rPr>
      </w:pPr>
    </w:p>
    <w:p w14:paraId="390AFCC3" w14:textId="57BD18DF" w:rsidR="00366EAB" w:rsidRPr="0069784D" w:rsidRDefault="00DA3178" w:rsidP="009C15CF">
      <w:pPr>
        <w:pStyle w:val="Heading3"/>
        <w:jc w:val="both"/>
        <w:rPr>
          <w:rFonts w:asciiTheme="minorHAnsi" w:hAnsiTheme="minorHAnsi" w:cstheme="minorHAnsi"/>
          <w:color w:val="auto"/>
          <w:sz w:val="28"/>
          <w:szCs w:val="28"/>
          <w:lang w:val="nl-BE"/>
        </w:rPr>
      </w:pPr>
      <w:bookmarkStart w:id="18" w:name="_Toc104134040"/>
      <w:r w:rsidRPr="0069784D">
        <w:rPr>
          <w:rFonts w:asciiTheme="minorHAnsi" w:hAnsiTheme="minorHAnsi" w:cstheme="minorHAnsi"/>
          <w:color w:val="auto"/>
          <w:sz w:val="28"/>
          <w:szCs w:val="28"/>
          <w:lang w:val="nl-BE"/>
        </w:rPr>
        <w:t>Onderafdeling</w:t>
      </w:r>
      <w:r w:rsidR="00366EAB" w:rsidRPr="0069784D">
        <w:rPr>
          <w:rFonts w:asciiTheme="minorHAnsi" w:hAnsiTheme="minorHAnsi" w:cstheme="minorHAnsi"/>
          <w:color w:val="auto"/>
          <w:sz w:val="28"/>
          <w:szCs w:val="28"/>
          <w:lang w:val="nl-BE"/>
        </w:rPr>
        <w:t xml:space="preserve"> 3: </w:t>
      </w:r>
      <w:r w:rsidRPr="0069784D">
        <w:rPr>
          <w:rFonts w:asciiTheme="minorHAnsi" w:hAnsiTheme="minorHAnsi" w:cstheme="minorHAnsi"/>
          <w:color w:val="auto"/>
          <w:sz w:val="28"/>
          <w:szCs w:val="28"/>
          <w:lang w:val="nl-BE"/>
        </w:rPr>
        <w:t>Beelden van seksueel misbruik van minderjarigen</w:t>
      </w:r>
      <w:bookmarkEnd w:id="18"/>
    </w:p>
    <w:p w14:paraId="26992B2A" w14:textId="77777777" w:rsidR="00DA3178" w:rsidRPr="0069784D" w:rsidRDefault="00DA3178" w:rsidP="009C15CF">
      <w:pPr>
        <w:pStyle w:val="Heading3"/>
        <w:jc w:val="both"/>
        <w:rPr>
          <w:rFonts w:asciiTheme="minorHAnsi" w:hAnsiTheme="minorHAnsi" w:cstheme="minorHAnsi"/>
          <w:color w:val="auto"/>
          <w:sz w:val="22"/>
          <w:szCs w:val="22"/>
          <w:lang w:val="nl-BE"/>
        </w:rPr>
      </w:pPr>
      <w:bookmarkStart w:id="19" w:name="_Toc104134041"/>
    </w:p>
    <w:p w14:paraId="758F941C" w14:textId="4486B9A1" w:rsidR="00F33A00" w:rsidRPr="0069784D" w:rsidRDefault="00DA3178" w:rsidP="009C15CF">
      <w:pPr>
        <w:pStyle w:val="Heading3"/>
        <w:jc w:val="both"/>
        <w:rPr>
          <w:rFonts w:asciiTheme="minorHAnsi" w:hAnsiTheme="minorHAnsi" w:cstheme="minorHAnsi"/>
          <w:color w:val="auto"/>
          <w:sz w:val="28"/>
          <w:szCs w:val="28"/>
          <w:lang w:val="nl-BE"/>
        </w:rPr>
      </w:pPr>
      <w:r w:rsidRPr="0069784D">
        <w:rPr>
          <w:rFonts w:asciiTheme="minorHAnsi" w:hAnsiTheme="minorHAnsi" w:cstheme="minorHAnsi"/>
          <w:color w:val="auto"/>
          <w:sz w:val="28"/>
          <w:szCs w:val="28"/>
          <w:lang w:val="nl-BE"/>
        </w:rPr>
        <w:t xml:space="preserve">Artikel </w:t>
      </w:r>
      <w:r w:rsidR="004C7FAC" w:rsidRPr="0069784D">
        <w:rPr>
          <w:rFonts w:asciiTheme="minorHAnsi" w:hAnsiTheme="minorHAnsi" w:cstheme="minorHAnsi"/>
          <w:color w:val="auto"/>
          <w:sz w:val="28"/>
          <w:szCs w:val="28"/>
          <w:lang w:val="nl-BE"/>
        </w:rPr>
        <w:t>417/43</w:t>
      </w:r>
      <w:r w:rsidR="00172E85" w:rsidRPr="0069784D">
        <w:rPr>
          <w:rFonts w:asciiTheme="minorHAnsi" w:hAnsiTheme="minorHAnsi" w:cstheme="minorHAnsi"/>
          <w:color w:val="auto"/>
          <w:sz w:val="28"/>
          <w:szCs w:val="28"/>
          <w:lang w:val="nl-BE"/>
        </w:rPr>
        <w:t xml:space="preserve"> -</w:t>
      </w:r>
      <w:r w:rsidR="004C7FAC" w:rsidRPr="0069784D">
        <w:rPr>
          <w:rFonts w:asciiTheme="minorHAnsi" w:hAnsiTheme="minorHAnsi" w:cstheme="minorHAnsi"/>
          <w:color w:val="auto"/>
          <w:sz w:val="28"/>
          <w:szCs w:val="28"/>
          <w:lang w:val="nl-BE"/>
        </w:rPr>
        <w:t xml:space="preserve"> </w:t>
      </w:r>
      <w:r w:rsidR="00E307FC" w:rsidRPr="0069784D">
        <w:rPr>
          <w:rFonts w:asciiTheme="minorHAnsi" w:hAnsiTheme="minorHAnsi" w:cstheme="minorHAnsi"/>
          <w:color w:val="auto"/>
          <w:sz w:val="28"/>
          <w:szCs w:val="28"/>
          <w:lang w:val="nl-BE"/>
        </w:rPr>
        <w:t>D</w:t>
      </w:r>
      <w:bookmarkEnd w:id="19"/>
      <w:r w:rsidRPr="0069784D">
        <w:rPr>
          <w:rFonts w:asciiTheme="minorHAnsi" w:hAnsiTheme="minorHAnsi" w:cstheme="minorHAnsi"/>
          <w:color w:val="auto"/>
          <w:sz w:val="28"/>
          <w:szCs w:val="28"/>
          <w:lang w:val="nl-BE"/>
        </w:rPr>
        <w:t>efinitie</w:t>
      </w:r>
    </w:p>
    <w:p w14:paraId="30C3E2D3" w14:textId="77777777" w:rsidR="00DA3178" w:rsidRPr="0069784D" w:rsidRDefault="00DA3178" w:rsidP="009C15CF">
      <w:pPr>
        <w:rPr>
          <w:lang w:val="nl-BE"/>
        </w:rPr>
      </w:pPr>
    </w:p>
    <w:p w14:paraId="2031FD1F" w14:textId="4AD0D748" w:rsidR="004C7FAC" w:rsidRPr="0069784D" w:rsidRDefault="00F815EE" w:rsidP="009C15CF">
      <w:pPr>
        <w:jc w:val="both"/>
        <w:rPr>
          <w:lang w:val="nl-BE"/>
        </w:rPr>
      </w:pPr>
      <w:r w:rsidRPr="0069784D">
        <w:rPr>
          <w:lang w:val="nl-BE"/>
        </w:rPr>
        <w:t xml:space="preserve">Deze definitie neemt de definitie over uit </w:t>
      </w:r>
      <w:r w:rsidR="003C7981" w:rsidRPr="0069784D">
        <w:rPr>
          <w:lang w:val="nl-BE"/>
        </w:rPr>
        <w:t xml:space="preserve">het vroegere </w:t>
      </w:r>
      <w:r w:rsidRPr="0069784D">
        <w:rPr>
          <w:lang w:val="nl-BE"/>
        </w:rPr>
        <w:t>artikel</w:t>
      </w:r>
      <w:r w:rsidR="004C7FAC" w:rsidRPr="0069784D">
        <w:rPr>
          <w:lang w:val="nl-BE"/>
        </w:rPr>
        <w:t xml:space="preserve"> </w:t>
      </w:r>
      <w:r w:rsidR="00A76814" w:rsidRPr="0069784D">
        <w:rPr>
          <w:b/>
          <w:lang w:val="nl-BE"/>
        </w:rPr>
        <w:t xml:space="preserve">383bis, </w:t>
      </w:r>
      <w:r w:rsidR="004C7FAC" w:rsidRPr="0069784D">
        <w:rPr>
          <w:b/>
          <w:lang w:val="nl-BE"/>
        </w:rPr>
        <w:t>§4</w:t>
      </w:r>
      <w:r w:rsidR="003C7981" w:rsidRPr="0069784D">
        <w:rPr>
          <w:b/>
          <w:lang w:val="nl-BE"/>
        </w:rPr>
        <w:t xml:space="preserve">, </w:t>
      </w:r>
      <w:r w:rsidR="003C7981" w:rsidRPr="0069784D">
        <w:rPr>
          <w:bCs/>
          <w:lang w:val="nl-BE"/>
        </w:rPr>
        <w:t>dat in 2016 aangevuld werd.</w:t>
      </w:r>
      <w:r w:rsidR="003C7981" w:rsidRPr="0069784D">
        <w:rPr>
          <w:b/>
          <w:lang w:val="nl-BE"/>
        </w:rPr>
        <w:t xml:space="preserve"> </w:t>
      </w:r>
      <w:r w:rsidR="00212F5D" w:rsidRPr="0069784D">
        <w:rPr>
          <w:b/>
          <w:lang w:val="nl-BE"/>
        </w:rPr>
        <w:t xml:space="preserve"> </w:t>
      </w:r>
    </w:p>
    <w:p w14:paraId="38C846FC" w14:textId="321E0229" w:rsidR="004C7FAC" w:rsidRPr="0069784D" w:rsidRDefault="00A54A3C" w:rsidP="009C15CF">
      <w:pPr>
        <w:jc w:val="both"/>
        <w:rPr>
          <w:lang w:val="nl-BE"/>
        </w:rPr>
      </w:pPr>
      <w:r w:rsidRPr="0069784D">
        <w:rPr>
          <w:lang w:val="nl-BE"/>
        </w:rPr>
        <w:t xml:space="preserve">Overeenkomstig de internationale aanbevelingen stapt de wetgever af van de benaming ‘kinderpornografisch materiaal’ ten voordele van </w:t>
      </w:r>
      <w:r w:rsidR="00E97856" w:rsidRPr="0069784D">
        <w:rPr>
          <w:lang w:val="nl-BE"/>
        </w:rPr>
        <w:t>‘</w:t>
      </w:r>
      <w:r w:rsidRPr="0069784D">
        <w:rPr>
          <w:lang w:val="nl-BE"/>
        </w:rPr>
        <w:t>beelden van seksueel misbruik van mi</w:t>
      </w:r>
      <w:r w:rsidR="006D7C91" w:rsidRPr="0069784D">
        <w:rPr>
          <w:lang w:val="nl-BE"/>
        </w:rPr>
        <w:t>n</w:t>
      </w:r>
      <w:r w:rsidRPr="0069784D">
        <w:rPr>
          <w:lang w:val="nl-BE"/>
        </w:rPr>
        <w:t>derjarigen’, wat enigszins restrictief lijkt ten aanzien van de bedoelde inhoud ervan:</w:t>
      </w:r>
    </w:p>
    <w:p w14:paraId="4D24C305" w14:textId="27B5E2C3" w:rsidR="006D7C91" w:rsidRPr="0069784D" w:rsidRDefault="006D7C91" w:rsidP="009C15CF">
      <w:pPr>
        <w:pStyle w:val="ListParagraph"/>
        <w:numPr>
          <w:ilvl w:val="0"/>
          <w:numId w:val="23"/>
        </w:numPr>
        <w:jc w:val="both"/>
        <w:rPr>
          <w:rFonts w:cstheme="minorHAnsi"/>
          <w:color w:val="000000"/>
          <w:lang w:val="nl-BE"/>
        </w:rPr>
      </w:pPr>
      <w:r w:rsidRPr="0069784D">
        <w:rPr>
          <w:rFonts w:cstheme="minorHAnsi"/>
          <w:color w:val="000000"/>
          <w:lang w:val="nl-BE"/>
        </w:rPr>
        <w:t>elk materiaal dat de visuele weergave op welke wijze dan ook behelst van een minderjarige die deelneemt aan echte of gesimuleerde expliciete seksuele gedragingen, of dat de weergave behelst van de geslachtsorganen van een minderjarige voor primair seksuele doeleinden;</w:t>
      </w:r>
    </w:p>
    <w:p w14:paraId="4F08E7A9" w14:textId="07C922B8" w:rsidR="006D7C91" w:rsidRPr="0069784D" w:rsidRDefault="006D7C91" w:rsidP="009C15CF">
      <w:pPr>
        <w:pStyle w:val="ListParagraph"/>
        <w:numPr>
          <w:ilvl w:val="0"/>
          <w:numId w:val="23"/>
        </w:numPr>
        <w:jc w:val="both"/>
        <w:rPr>
          <w:rFonts w:cstheme="minorHAnsi"/>
          <w:color w:val="000000"/>
          <w:lang w:val="nl-BE"/>
        </w:rPr>
      </w:pPr>
      <w:r w:rsidRPr="0069784D">
        <w:rPr>
          <w:rFonts w:cstheme="minorHAnsi"/>
          <w:color w:val="000000"/>
          <w:lang w:val="nl-BE"/>
        </w:rPr>
        <w:t>elk materiaal dat de visuele weergave op welke wijze dan ook behelst van een persoon die er als een minderjarige uitziet en die deelneemt aan echte of gesimuleerde expliciete seksuele gedragingen, of dat de weergave behelst van de geslachtsorganen van deze persoon voor primair seksuele doeleinden;</w:t>
      </w:r>
    </w:p>
    <w:p w14:paraId="2C62C8B3" w14:textId="4A459215" w:rsidR="00A76814" w:rsidRPr="0069784D" w:rsidRDefault="006D7C91" w:rsidP="009C15CF">
      <w:pPr>
        <w:pStyle w:val="ListParagraph"/>
        <w:numPr>
          <w:ilvl w:val="0"/>
          <w:numId w:val="23"/>
        </w:numPr>
        <w:jc w:val="both"/>
        <w:rPr>
          <w:rFonts w:cstheme="minorHAnsi"/>
          <w:color w:val="000000"/>
          <w:lang w:val="nl-BE"/>
        </w:rPr>
      </w:pPr>
      <w:r w:rsidRPr="0069784D">
        <w:rPr>
          <w:rFonts w:cstheme="minorHAnsi"/>
          <w:color w:val="000000"/>
          <w:lang w:val="nl-BE"/>
        </w:rPr>
        <w:t>realistische afbeeldingen die de weergave behelzen van een niet-bestaande minderjarige die deelneemt aan expliciete seksuele gedragingen, of die de weergave behelzen van de geslachtsorganen van deze minderjarige voor primair seksuele doeleinden.</w:t>
      </w:r>
    </w:p>
    <w:p w14:paraId="1C8F22F2" w14:textId="77777777" w:rsidR="006D7C91" w:rsidRPr="0069784D" w:rsidRDefault="006D7C91" w:rsidP="009C15CF">
      <w:pPr>
        <w:pStyle w:val="ListParagraph"/>
        <w:jc w:val="both"/>
        <w:rPr>
          <w:rFonts w:cstheme="minorHAnsi"/>
          <w:color w:val="000000"/>
          <w:lang w:val="nl-BE"/>
        </w:rPr>
      </w:pPr>
    </w:p>
    <w:p w14:paraId="64BA5251" w14:textId="7699BA1E" w:rsidR="004C7FAC" w:rsidRPr="0069784D" w:rsidRDefault="006D7C91" w:rsidP="009C15CF">
      <w:pPr>
        <w:pStyle w:val="Heading3"/>
        <w:jc w:val="both"/>
        <w:rPr>
          <w:rFonts w:asciiTheme="minorHAnsi" w:hAnsiTheme="minorHAnsi" w:cstheme="minorHAnsi"/>
          <w:color w:val="auto"/>
          <w:sz w:val="28"/>
          <w:szCs w:val="28"/>
          <w:lang w:val="nl-BE"/>
        </w:rPr>
      </w:pPr>
      <w:bookmarkStart w:id="20" w:name="_Toc104134042"/>
      <w:r w:rsidRPr="0069784D">
        <w:rPr>
          <w:rFonts w:asciiTheme="minorHAnsi" w:hAnsiTheme="minorHAnsi" w:cstheme="minorHAnsi"/>
          <w:color w:val="auto"/>
          <w:sz w:val="28"/>
          <w:szCs w:val="28"/>
          <w:lang w:val="nl-BE"/>
        </w:rPr>
        <w:t xml:space="preserve">Artikel </w:t>
      </w:r>
      <w:r w:rsidR="004C7FAC" w:rsidRPr="0069784D">
        <w:rPr>
          <w:rFonts w:asciiTheme="minorHAnsi" w:hAnsiTheme="minorHAnsi" w:cstheme="minorHAnsi"/>
          <w:color w:val="auto"/>
          <w:sz w:val="28"/>
          <w:szCs w:val="28"/>
          <w:lang w:val="nl-BE"/>
        </w:rPr>
        <w:t>417/44</w:t>
      </w:r>
      <w:r w:rsidR="00933C62" w:rsidRPr="0069784D">
        <w:rPr>
          <w:rFonts w:asciiTheme="minorHAnsi" w:hAnsiTheme="minorHAnsi" w:cstheme="minorHAnsi"/>
          <w:color w:val="auto"/>
          <w:sz w:val="28"/>
          <w:szCs w:val="28"/>
          <w:lang w:val="nl-BE"/>
        </w:rPr>
        <w:t xml:space="preserve"> -</w:t>
      </w:r>
      <w:r w:rsidR="004C7FAC" w:rsidRPr="0069784D">
        <w:rPr>
          <w:rFonts w:asciiTheme="minorHAnsi" w:hAnsiTheme="minorHAnsi" w:cstheme="minorHAnsi"/>
          <w:color w:val="auto"/>
          <w:sz w:val="28"/>
          <w:szCs w:val="28"/>
          <w:lang w:val="nl-BE"/>
        </w:rPr>
        <w:t xml:space="preserve"> </w:t>
      </w:r>
      <w:bookmarkEnd w:id="20"/>
      <w:r w:rsidRPr="0069784D">
        <w:rPr>
          <w:rFonts w:asciiTheme="minorHAnsi" w:hAnsiTheme="minorHAnsi" w:cstheme="minorHAnsi"/>
          <w:color w:val="auto"/>
          <w:sz w:val="28"/>
          <w:szCs w:val="28"/>
          <w:lang w:val="nl-BE"/>
        </w:rPr>
        <w:t>Vervaardigen of verspreiden</w:t>
      </w:r>
    </w:p>
    <w:p w14:paraId="43F6F14B" w14:textId="77777777" w:rsidR="006D7C91" w:rsidRPr="0069784D" w:rsidRDefault="006D7C91" w:rsidP="009C15CF">
      <w:pPr>
        <w:jc w:val="both"/>
        <w:rPr>
          <w:lang w:val="nl-BE"/>
        </w:rPr>
      </w:pPr>
    </w:p>
    <w:p w14:paraId="5AF4DEB7" w14:textId="09FA6E68" w:rsidR="00E307FC" w:rsidRPr="002B0732" w:rsidRDefault="00AD5878" w:rsidP="009C15CF">
      <w:pPr>
        <w:jc w:val="both"/>
        <w:rPr>
          <w:lang w:val="nl-BE"/>
        </w:rPr>
      </w:pPr>
      <w:r w:rsidRPr="0069784D">
        <w:rPr>
          <w:lang w:val="nl-BE"/>
        </w:rPr>
        <w:t xml:space="preserve">De nieuwe wet bestraft in artikel </w:t>
      </w:r>
      <w:r w:rsidR="00F33A00" w:rsidRPr="0069784D">
        <w:rPr>
          <w:lang w:val="nl-BE"/>
        </w:rPr>
        <w:t xml:space="preserve">417/44 </w:t>
      </w:r>
      <w:r w:rsidRPr="0069784D">
        <w:rPr>
          <w:lang w:val="nl-BE"/>
        </w:rPr>
        <w:t xml:space="preserve">het vervaardigen of verspreiden van dergelijke beelden met opsluiting van </w:t>
      </w:r>
      <w:r w:rsidR="00E97856" w:rsidRPr="0069784D">
        <w:rPr>
          <w:lang w:val="nl-BE"/>
        </w:rPr>
        <w:t>vijf</w:t>
      </w:r>
      <w:r w:rsidRPr="0069784D">
        <w:rPr>
          <w:lang w:val="nl-BE"/>
        </w:rPr>
        <w:t xml:space="preserve"> tot </w:t>
      </w:r>
      <w:r w:rsidR="00E97856" w:rsidRPr="0069784D">
        <w:rPr>
          <w:lang w:val="nl-BE"/>
        </w:rPr>
        <w:t>tien</w:t>
      </w:r>
      <w:r w:rsidRPr="0069784D">
        <w:rPr>
          <w:lang w:val="nl-BE"/>
        </w:rPr>
        <w:t xml:space="preserve"> jaar </w:t>
      </w:r>
      <w:r w:rsidR="00F33A00" w:rsidRPr="0069784D">
        <w:rPr>
          <w:lang w:val="nl-BE"/>
        </w:rPr>
        <w:t>(</w:t>
      </w:r>
      <w:r w:rsidR="002C5768" w:rsidRPr="002B0732">
        <w:rPr>
          <w:lang w:val="nl-BE"/>
        </w:rPr>
        <w:t xml:space="preserve">na </w:t>
      </w:r>
      <w:r w:rsidR="00F33A00" w:rsidRPr="002B0732">
        <w:rPr>
          <w:lang w:val="nl-BE"/>
        </w:rPr>
        <w:t>corr</w:t>
      </w:r>
      <w:r w:rsidR="00A76814" w:rsidRPr="002B0732">
        <w:rPr>
          <w:lang w:val="nl-BE"/>
        </w:rPr>
        <w:t>.</w:t>
      </w:r>
      <w:r w:rsidR="00F33A00" w:rsidRPr="002B0732">
        <w:rPr>
          <w:lang w:val="nl-BE"/>
        </w:rPr>
        <w:t xml:space="preserve"> </w:t>
      </w:r>
      <w:r w:rsidRPr="002B0732">
        <w:rPr>
          <w:lang w:val="nl-BE"/>
        </w:rPr>
        <w:t>één maand</w:t>
      </w:r>
      <w:r w:rsidR="00F33A00" w:rsidRPr="002B0732">
        <w:rPr>
          <w:lang w:val="nl-BE"/>
        </w:rPr>
        <w:t xml:space="preserve"> </w:t>
      </w:r>
      <w:r w:rsidRPr="002B0732">
        <w:rPr>
          <w:lang w:val="nl-BE"/>
        </w:rPr>
        <w:t>tot vijf jaar</w:t>
      </w:r>
      <w:r w:rsidR="00F33A00" w:rsidRPr="002B0732">
        <w:rPr>
          <w:lang w:val="nl-BE"/>
        </w:rPr>
        <w:t>) e</w:t>
      </w:r>
      <w:r w:rsidRPr="002B0732">
        <w:rPr>
          <w:lang w:val="nl-BE"/>
        </w:rPr>
        <w:t xml:space="preserve">n een geldboete van </w:t>
      </w:r>
      <w:r w:rsidR="002B3EE3" w:rsidRPr="002B0732">
        <w:rPr>
          <w:lang w:val="nl-BE"/>
        </w:rPr>
        <w:t>5</w:t>
      </w:r>
      <w:r w:rsidR="00F33A00" w:rsidRPr="002B0732">
        <w:rPr>
          <w:lang w:val="nl-BE"/>
        </w:rPr>
        <w:t xml:space="preserve">00 </w:t>
      </w:r>
      <w:r w:rsidR="002B3EE3" w:rsidRPr="002B0732">
        <w:rPr>
          <w:lang w:val="nl-BE"/>
        </w:rPr>
        <w:t>tot</w:t>
      </w:r>
      <w:r w:rsidR="00F33A00" w:rsidRPr="002B0732">
        <w:rPr>
          <w:lang w:val="nl-BE"/>
        </w:rPr>
        <w:t xml:space="preserve"> 10.000 </w:t>
      </w:r>
      <w:r w:rsidR="002B3EE3" w:rsidRPr="002B0732">
        <w:rPr>
          <w:lang w:val="nl-BE"/>
        </w:rPr>
        <w:t>euro</w:t>
      </w:r>
      <w:r w:rsidR="00F33A00" w:rsidRPr="002B0732">
        <w:rPr>
          <w:lang w:val="nl-BE"/>
        </w:rPr>
        <w:t xml:space="preserve">. </w:t>
      </w:r>
      <w:r w:rsidR="002B3EE3" w:rsidRPr="002B0732">
        <w:rPr>
          <w:lang w:val="nl-BE"/>
        </w:rPr>
        <w:t xml:space="preserve">Dit is dezelfde straf als deze </w:t>
      </w:r>
      <w:r w:rsidR="002C5768" w:rsidRPr="002B0732">
        <w:rPr>
          <w:lang w:val="nl-BE"/>
        </w:rPr>
        <w:t xml:space="preserve">onder gelding van het oude </w:t>
      </w:r>
      <w:r w:rsidR="002B3EE3" w:rsidRPr="002B0732">
        <w:rPr>
          <w:lang w:val="nl-BE"/>
        </w:rPr>
        <w:t>artikel</w:t>
      </w:r>
      <w:r w:rsidR="00F33A00" w:rsidRPr="002B0732">
        <w:rPr>
          <w:lang w:val="nl-BE"/>
        </w:rPr>
        <w:t xml:space="preserve"> </w:t>
      </w:r>
      <w:r w:rsidR="00A76814" w:rsidRPr="002B0732">
        <w:rPr>
          <w:b/>
          <w:lang w:val="nl-BE"/>
        </w:rPr>
        <w:t xml:space="preserve">383bis, </w:t>
      </w:r>
      <w:r w:rsidR="00F33A00" w:rsidRPr="002B0732">
        <w:rPr>
          <w:b/>
          <w:lang w:val="nl-BE"/>
        </w:rPr>
        <w:t>§1.</w:t>
      </w:r>
      <w:r w:rsidR="00F33A00" w:rsidRPr="002B0732">
        <w:rPr>
          <w:lang w:val="nl-BE"/>
        </w:rPr>
        <w:t xml:space="preserve"> </w:t>
      </w:r>
    </w:p>
    <w:p w14:paraId="7F1104E4" w14:textId="77777777" w:rsidR="00A76814" w:rsidRPr="002B0732" w:rsidRDefault="00A76814" w:rsidP="009C15CF">
      <w:pPr>
        <w:jc w:val="both"/>
        <w:rPr>
          <w:lang w:val="nl-BE"/>
        </w:rPr>
      </w:pPr>
    </w:p>
    <w:p w14:paraId="4AF5AD0B" w14:textId="78557289" w:rsidR="00E307FC" w:rsidRPr="002B0732" w:rsidRDefault="00D314C9" w:rsidP="009C15CF">
      <w:pPr>
        <w:pStyle w:val="Heading3"/>
        <w:jc w:val="both"/>
        <w:rPr>
          <w:rFonts w:asciiTheme="minorHAnsi" w:hAnsiTheme="minorHAnsi" w:cstheme="minorHAnsi"/>
          <w:color w:val="auto"/>
          <w:sz w:val="28"/>
          <w:szCs w:val="28"/>
          <w:lang w:val="nl-BE"/>
        </w:rPr>
      </w:pPr>
      <w:r w:rsidRPr="002B0732">
        <w:rPr>
          <w:rFonts w:asciiTheme="minorHAnsi" w:hAnsiTheme="minorHAnsi" w:cstheme="minorHAnsi"/>
          <w:color w:val="auto"/>
          <w:sz w:val="28"/>
          <w:szCs w:val="28"/>
          <w:lang w:val="nl-BE"/>
        </w:rPr>
        <w:t>Artikel 417/45</w:t>
      </w:r>
      <w:r w:rsidR="00933C62" w:rsidRPr="002B0732">
        <w:rPr>
          <w:rFonts w:asciiTheme="minorHAnsi" w:hAnsiTheme="minorHAnsi" w:cstheme="minorHAnsi"/>
          <w:color w:val="auto"/>
          <w:sz w:val="28"/>
          <w:szCs w:val="28"/>
          <w:lang w:val="nl-BE"/>
        </w:rPr>
        <w:t xml:space="preserve"> -</w:t>
      </w:r>
      <w:r w:rsidRPr="002B0732">
        <w:rPr>
          <w:rFonts w:asciiTheme="minorHAnsi" w:hAnsiTheme="minorHAnsi" w:cstheme="minorHAnsi"/>
          <w:color w:val="auto"/>
          <w:sz w:val="28"/>
          <w:szCs w:val="28"/>
          <w:lang w:val="nl-BE"/>
        </w:rPr>
        <w:t xml:space="preserve"> Vervaardigen of verspreiden in vereniging</w:t>
      </w:r>
    </w:p>
    <w:p w14:paraId="3C8BFC0C" w14:textId="77777777" w:rsidR="00D314C9" w:rsidRPr="002B0732" w:rsidRDefault="00D314C9" w:rsidP="009C15CF">
      <w:pPr>
        <w:jc w:val="both"/>
        <w:rPr>
          <w:lang w:val="nl-BE"/>
        </w:rPr>
      </w:pPr>
    </w:p>
    <w:p w14:paraId="4DFC4F8B" w14:textId="676A54D6" w:rsidR="00F33A00" w:rsidRPr="0069784D" w:rsidRDefault="005F3F3A" w:rsidP="009C15CF">
      <w:pPr>
        <w:jc w:val="both"/>
        <w:rPr>
          <w:lang w:val="nl-BE"/>
        </w:rPr>
      </w:pPr>
      <w:r w:rsidRPr="002B0732">
        <w:rPr>
          <w:lang w:val="nl-BE"/>
        </w:rPr>
        <w:t xml:space="preserve">Indien het vervaardigen of verspreiden </w:t>
      </w:r>
      <w:r w:rsidRPr="002B0732">
        <w:rPr>
          <w:rFonts w:cstheme="minorHAnsi"/>
          <w:lang w:val="nl-BE"/>
        </w:rPr>
        <w:t>een daad van deelneming aan de hoofd- of bijkomende bedrijvigheid van een vereniging betreft</w:t>
      </w:r>
      <w:r w:rsidRPr="002B0732">
        <w:rPr>
          <w:lang w:val="nl-BE"/>
        </w:rPr>
        <w:t xml:space="preserve">, dan behoudt </w:t>
      </w:r>
      <w:r w:rsidR="00E97856" w:rsidRPr="002B0732">
        <w:rPr>
          <w:lang w:val="nl-BE"/>
        </w:rPr>
        <w:t xml:space="preserve">artikel </w:t>
      </w:r>
      <w:r w:rsidR="00F33A00" w:rsidRPr="002B0732">
        <w:rPr>
          <w:lang w:val="nl-BE"/>
        </w:rPr>
        <w:t xml:space="preserve">417/45 </w:t>
      </w:r>
      <w:r w:rsidRPr="002B0732">
        <w:rPr>
          <w:lang w:val="nl-BE"/>
        </w:rPr>
        <w:t xml:space="preserve">de straf van 10 tot 15 jaar opsluiting, zoals </w:t>
      </w:r>
      <w:r w:rsidR="002C5768" w:rsidRPr="002B0732">
        <w:rPr>
          <w:lang w:val="nl-BE"/>
        </w:rPr>
        <w:t xml:space="preserve">dat </w:t>
      </w:r>
      <w:r w:rsidRPr="002B0732">
        <w:rPr>
          <w:lang w:val="nl-BE"/>
        </w:rPr>
        <w:t xml:space="preserve">reeds het geval was </w:t>
      </w:r>
      <w:r w:rsidR="002C5768" w:rsidRPr="002B0732">
        <w:rPr>
          <w:lang w:val="nl-BE"/>
        </w:rPr>
        <w:t xml:space="preserve">onder gelding van het oude </w:t>
      </w:r>
      <w:r w:rsidRPr="002B0732">
        <w:rPr>
          <w:lang w:val="nl-BE"/>
        </w:rPr>
        <w:t xml:space="preserve">artikel </w:t>
      </w:r>
      <w:r w:rsidR="00A76814" w:rsidRPr="002B0732">
        <w:rPr>
          <w:b/>
          <w:lang w:val="nl-BE"/>
        </w:rPr>
        <w:t xml:space="preserve">383, </w:t>
      </w:r>
      <w:r w:rsidR="00F33A00" w:rsidRPr="002B0732">
        <w:rPr>
          <w:b/>
          <w:lang w:val="nl-BE"/>
        </w:rPr>
        <w:t>§3</w:t>
      </w:r>
      <w:r w:rsidRPr="002B0732">
        <w:rPr>
          <w:lang w:val="nl-BE"/>
        </w:rPr>
        <w:t xml:space="preserve">, maar wordt de oorspronkelijk op 500 tot 50.000 euro vastgelegde geldboete verhoogd </w:t>
      </w:r>
      <w:r w:rsidRPr="0069784D">
        <w:rPr>
          <w:lang w:val="nl-BE"/>
        </w:rPr>
        <w:t>naar</w:t>
      </w:r>
      <w:r w:rsidR="00F33A00" w:rsidRPr="0069784D">
        <w:rPr>
          <w:lang w:val="nl-BE"/>
        </w:rPr>
        <w:t xml:space="preserve"> </w:t>
      </w:r>
      <w:r w:rsidR="008C465C" w:rsidRPr="0069784D">
        <w:rPr>
          <w:lang w:val="nl-BE"/>
        </w:rPr>
        <w:t>1.000</w:t>
      </w:r>
      <w:r w:rsidR="00F33A00" w:rsidRPr="0069784D">
        <w:rPr>
          <w:lang w:val="nl-BE"/>
        </w:rPr>
        <w:t xml:space="preserve"> </w:t>
      </w:r>
      <w:r w:rsidRPr="0069784D">
        <w:rPr>
          <w:lang w:val="nl-BE"/>
        </w:rPr>
        <w:t xml:space="preserve">tot </w:t>
      </w:r>
      <w:r w:rsidR="00F33A00" w:rsidRPr="0069784D">
        <w:rPr>
          <w:lang w:val="nl-BE"/>
        </w:rPr>
        <w:t xml:space="preserve">100.000 </w:t>
      </w:r>
      <w:r w:rsidRPr="0069784D">
        <w:rPr>
          <w:lang w:val="nl-BE"/>
        </w:rPr>
        <w:t>euro</w:t>
      </w:r>
      <w:r w:rsidR="00F33A00" w:rsidRPr="0069784D">
        <w:rPr>
          <w:lang w:val="nl-BE"/>
        </w:rPr>
        <w:t>.</w:t>
      </w:r>
    </w:p>
    <w:p w14:paraId="4E170309" w14:textId="77777777" w:rsidR="0001590A" w:rsidRPr="0069784D" w:rsidRDefault="0001590A" w:rsidP="009C15CF">
      <w:pPr>
        <w:jc w:val="both"/>
        <w:rPr>
          <w:sz w:val="28"/>
          <w:szCs w:val="28"/>
          <w:lang w:val="nl-BE"/>
        </w:rPr>
      </w:pPr>
    </w:p>
    <w:p w14:paraId="6A1B0074" w14:textId="6C37760A" w:rsidR="00F33A00" w:rsidRPr="0069784D" w:rsidRDefault="00A1578F" w:rsidP="009C15CF">
      <w:pPr>
        <w:pStyle w:val="Heading3"/>
        <w:jc w:val="both"/>
        <w:rPr>
          <w:rFonts w:asciiTheme="minorHAnsi" w:hAnsiTheme="minorHAnsi" w:cstheme="minorHAnsi"/>
          <w:color w:val="auto"/>
          <w:sz w:val="28"/>
          <w:szCs w:val="28"/>
          <w:lang w:val="nl-BE"/>
        </w:rPr>
      </w:pPr>
      <w:bookmarkStart w:id="21" w:name="_Toc104134044"/>
      <w:r w:rsidRPr="0069784D">
        <w:rPr>
          <w:rFonts w:asciiTheme="minorHAnsi" w:hAnsiTheme="minorHAnsi" w:cstheme="minorHAnsi"/>
          <w:color w:val="auto"/>
          <w:sz w:val="28"/>
          <w:szCs w:val="28"/>
          <w:lang w:val="nl-BE"/>
        </w:rPr>
        <w:lastRenderedPageBreak/>
        <w:t xml:space="preserve">Artikel </w:t>
      </w:r>
      <w:r w:rsidR="00E307FC" w:rsidRPr="0069784D">
        <w:rPr>
          <w:rFonts w:asciiTheme="minorHAnsi" w:hAnsiTheme="minorHAnsi" w:cstheme="minorHAnsi"/>
          <w:color w:val="auto"/>
          <w:sz w:val="28"/>
          <w:szCs w:val="28"/>
          <w:lang w:val="nl-BE"/>
        </w:rPr>
        <w:t>417/46</w:t>
      </w:r>
      <w:r w:rsidR="00933C62" w:rsidRPr="0069784D">
        <w:rPr>
          <w:rFonts w:asciiTheme="minorHAnsi" w:hAnsiTheme="minorHAnsi" w:cstheme="minorHAnsi"/>
          <w:color w:val="auto"/>
          <w:sz w:val="28"/>
          <w:szCs w:val="28"/>
          <w:lang w:val="nl-BE"/>
        </w:rPr>
        <w:t xml:space="preserve"> - </w:t>
      </w:r>
      <w:bookmarkEnd w:id="21"/>
      <w:r w:rsidRPr="0069784D">
        <w:rPr>
          <w:rFonts w:asciiTheme="minorHAnsi" w:hAnsiTheme="minorHAnsi" w:cstheme="minorHAnsi"/>
          <w:color w:val="auto"/>
          <w:sz w:val="28"/>
          <w:szCs w:val="28"/>
          <w:lang w:val="nl-BE"/>
        </w:rPr>
        <w:t>Bezitten en verwerven</w:t>
      </w:r>
    </w:p>
    <w:p w14:paraId="60B8C67F" w14:textId="77777777" w:rsidR="00A1578F" w:rsidRPr="0069784D" w:rsidRDefault="00A1578F" w:rsidP="009C15CF">
      <w:pPr>
        <w:rPr>
          <w:lang w:val="nl-BE"/>
        </w:rPr>
      </w:pPr>
    </w:p>
    <w:p w14:paraId="28ED4EA3" w14:textId="78EFC9F9" w:rsidR="00F33A00" w:rsidRPr="0069784D" w:rsidRDefault="006B08E0" w:rsidP="009C15CF">
      <w:pPr>
        <w:jc w:val="both"/>
        <w:rPr>
          <w:lang w:val="nl-BE"/>
        </w:rPr>
      </w:pPr>
      <w:r w:rsidRPr="0069784D">
        <w:rPr>
          <w:lang w:val="nl-BE"/>
        </w:rPr>
        <w:t xml:space="preserve">Het bezitten en verwerven van dergelijke beelden wordt bestraft met een straf van één tot vijf jaar (op grond van het vroegere </w:t>
      </w:r>
      <w:r w:rsidRPr="0069784D">
        <w:rPr>
          <w:b/>
          <w:bCs/>
          <w:lang w:val="nl-BE"/>
        </w:rPr>
        <w:t xml:space="preserve">artikel </w:t>
      </w:r>
      <w:r w:rsidR="00F33A00" w:rsidRPr="0069784D">
        <w:rPr>
          <w:b/>
          <w:lang w:val="nl-BE"/>
        </w:rPr>
        <w:t>383 bis</w:t>
      </w:r>
      <w:r w:rsidRPr="0069784D">
        <w:rPr>
          <w:b/>
          <w:lang w:val="nl-BE"/>
        </w:rPr>
        <w:t xml:space="preserve">, </w:t>
      </w:r>
      <w:r w:rsidR="00F33A00" w:rsidRPr="0069784D">
        <w:rPr>
          <w:b/>
          <w:lang w:val="nl-BE"/>
        </w:rPr>
        <w:t>§</w:t>
      </w:r>
      <w:r w:rsidRPr="0069784D">
        <w:rPr>
          <w:b/>
          <w:lang w:val="nl-BE"/>
        </w:rPr>
        <w:t>2</w:t>
      </w:r>
      <w:r w:rsidRPr="0069784D">
        <w:rPr>
          <w:bCs/>
          <w:lang w:val="nl-BE"/>
        </w:rPr>
        <w:t xml:space="preserve"> was dit één maand tot één jaar</w:t>
      </w:r>
      <w:r w:rsidR="00F33A00" w:rsidRPr="0069784D">
        <w:rPr>
          <w:lang w:val="nl-BE"/>
        </w:rPr>
        <w:t>) e</w:t>
      </w:r>
      <w:r w:rsidRPr="0069784D">
        <w:rPr>
          <w:lang w:val="nl-BE"/>
        </w:rPr>
        <w:t xml:space="preserve">n een geldboete van </w:t>
      </w:r>
      <w:r w:rsidR="00F33A00" w:rsidRPr="0069784D">
        <w:rPr>
          <w:lang w:val="nl-BE"/>
        </w:rPr>
        <w:t xml:space="preserve">500 </w:t>
      </w:r>
      <w:r w:rsidRPr="0069784D">
        <w:rPr>
          <w:lang w:val="nl-BE"/>
        </w:rPr>
        <w:t>tot</w:t>
      </w:r>
      <w:r w:rsidR="00F33A00" w:rsidRPr="0069784D">
        <w:rPr>
          <w:lang w:val="nl-BE"/>
        </w:rPr>
        <w:t xml:space="preserve"> 10.000 </w:t>
      </w:r>
      <w:r w:rsidRPr="0069784D">
        <w:rPr>
          <w:lang w:val="nl-BE"/>
        </w:rPr>
        <w:t>euro</w:t>
      </w:r>
      <w:r w:rsidR="00F33A00" w:rsidRPr="0069784D">
        <w:rPr>
          <w:lang w:val="nl-BE"/>
        </w:rPr>
        <w:t xml:space="preserve"> (</w:t>
      </w:r>
      <w:r w:rsidRPr="0069784D">
        <w:rPr>
          <w:lang w:val="nl-BE"/>
        </w:rPr>
        <w:t>voorheen van</w:t>
      </w:r>
      <w:r w:rsidR="00F33A00" w:rsidRPr="0069784D">
        <w:rPr>
          <w:lang w:val="nl-BE"/>
        </w:rPr>
        <w:t xml:space="preserve"> 100 </w:t>
      </w:r>
      <w:r w:rsidRPr="0069784D">
        <w:rPr>
          <w:lang w:val="nl-BE"/>
        </w:rPr>
        <w:t>tot</w:t>
      </w:r>
      <w:r w:rsidR="00F33A00" w:rsidRPr="0069784D">
        <w:rPr>
          <w:lang w:val="nl-BE"/>
        </w:rPr>
        <w:t xml:space="preserve"> </w:t>
      </w:r>
      <w:r w:rsidR="008C465C" w:rsidRPr="0069784D">
        <w:rPr>
          <w:lang w:val="nl-BE"/>
        </w:rPr>
        <w:t>1.000</w:t>
      </w:r>
      <w:r w:rsidR="00F33A00" w:rsidRPr="0069784D">
        <w:rPr>
          <w:lang w:val="nl-BE"/>
        </w:rPr>
        <w:t xml:space="preserve"> </w:t>
      </w:r>
      <w:r w:rsidRPr="0069784D">
        <w:rPr>
          <w:lang w:val="nl-BE"/>
        </w:rPr>
        <w:t>euro</w:t>
      </w:r>
      <w:r w:rsidR="00F33A00" w:rsidRPr="0069784D">
        <w:rPr>
          <w:lang w:val="nl-BE"/>
        </w:rPr>
        <w:t>).</w:t>
      </w:r>
    </w:p>
    <w:p w14:paraId="22245D61" w14:textId="77777777" w:rsidR="00D34618" w:rsidRPr="0069784D" w:rsidRDefault="00D34618" w:rsidP="009C15CF">
      <w:pPr>
        <w:jc w:val="both"/>
        <w:rPr>
          <w:lang w:val="nl-BE"/>
        </w:rPr>
      </w:pPr>
    </w:p>
    <w:p w14:paraId="32EE9DA8" w14:textId="4015C122" w:rsidR="00F33A00" w:rsidRPr="0069784D" w:rsidRDefault="00A1578F" w:rsidP="009C15CF">
      <w:pPr>
        <w:pStyle w:val="Heading3"/>
        <w:jc w:val="both"/>
        <w:rPr>
          <w:rFonts w:asciiTheme="minorHAnsi" w:hAnsiTheme="minorHAnsi" w:cstheme="minorHAnsi"/>
          <w:color w:val="auto"/>
          <w:sz w:val="28"/>
          <w:szCs w:val="28"/>
          <w:lang w:val="nl-BE"/>
        </w:rPr>
      </w:pPr>
      <w:bookmarkStart w:id="22" w:name="_Toc104134045"/>
      <w:r w:rsidRPr="0069784D">
        <w:rPr>
          <w:rFonts w:asciiTheme="minorHAnsi" w:hAnsiTheme="minorHAnsi" w:cstheme="minorHAnsi"/>
          <w:color w:val="auto"/>
          <w:sz w:val="28"/>
          <w:szCs w:val="28"/>
          <w:lang w:val="nl-BE"/>
        </w:rPr>
        <w:t xml:space="preserve">Artikel </w:t>
      </w:r>
      <w:r w:rsidR="00212F5D" w:rsidRPr="0069784D">
        <w:rPr>
          <w:rFonts w:asciiTheme="minorHAnsi" w:hAnsiTheme="minorHAnsi" w:cstheme="minorHAnsi"/>
          <w:color w:val="auto"/>
          <w:sz w:val="28"/>
          <w:szCs w:val="28"/>
          <w:lang w:val="nl-BE"/>
        </w:rPr>
        <w:t>417/47</w:t>
      </w:r>
      <w:r w:rsidR="00933C62" w:rsidRPr="0069784D">
        <w:rPr>
          <w:rFonts w:asciiTheme="minorHAnsi" w:hAnsiTheme="minorHAnsi" w:cstheme="minorHAnsi"/>
          <w:color w:val="auto"/>
          <w:sz w:val="28"/>
          <w:szCs w:val="28"/>
          <w:lang w:val="nl-BE"/>
        </w:rPr>
        <w:t xml:space="preserve"> - </w:t>
      </w:r>
      <w:bookmarkEnd w:id="22"/>
      <w:r w:rsidRPr="0069784D">
        <w:rPr>
          <w:rFonts w:asciiTheme="minorHAnsi" w:hAnsiTheme="minorHAnsi" w:cstheme="minorHAnsi"/>
          <w:color w:val="auto"/>
          <w:sz w:val="28"/>
          <w:szCs w:val="28"/>
          <w:lang w:val="nl-BE"/>
        </w:rPr>
        <w:t>Zich toegang verschaffen</w:t>
      </w:r>
    </w:p>
    <w:p w14:paraId="4AB5AA38" w14:textId="77777777" w:rsidR="00A1578F" w:rsidRPr="002B0732" w:rsidRDefault="00A1578F" w:rsidP="009C15CF">
      <w:pPr>
        <w:rPr>
          <w:lang w:val="nl-BE"/>
        </w:rPr>
      </w:pPr>
    </w:p>
    <w:p w14:paraId="0722F2BA" w14:textId="04691236" w:rsidR="00F33A00" w:rsidRPr="0069784D" w:rsidRDefault="006B08E0" w:rsidP="009C15CF">
      <w:pPr>
        <w:jc w:val="both"/>
        <w:rPr>
          <w:lang w:val="nl-BE"/>
        </w:rPr>
      </w:pPr>
      <w:r w:rsidRPr="002B0732">
        <w:rPr>
          <w:lang w:val="nl-BE"/>
        </w:rPr>
        <w:t>Op het zich toegang verschaffen</w:t>
      </w:r>
      <w:r w:rsidR="002C5768" w:rsidRPr="002B0732">
        <w:rPr>
          <w:lang w:val="nl-BE"/>
        </w:rPr>
        <w:t xml:space="preserve"> tot dergelijke beelden</w:t>
      </w:r>
      <w:r w:rsidRPr="002B0732">
        <w:rPr>
          <w:lang w:val="nl-BE"/>
        </w:rPr>
        <w:t xml:space="preserve"> staat een straf van </w:t>
      </w:r>
      <w:r w:rsidR="002C5768" w:rsidRPr="002B0732">
        <w:rPr>
          <w:lang w:val="nl-BE"/>
        </w:rPr>
        <w:t xml:space="preserve">één tot </w:t>
      </w:r>
      <w:r w:rsidRPr="002B0732">
        <w:rPr>
          <w:lang w:val="nl-BE"/>
        </w:rPr>
        <w:t>drie jaar</w:t>
      </w:r>
      <w:r w:rsidR="002C5768" w:rsidRPr="002B0732">
        <w:rPr>
          <w:lang w:val="nl-BE"/>
        </w:rPr>
        <w:t xml:space="preserve"> gevangenisstraf</w:t>
      </w:r>
      <w:r w:rsidRPr="002B0732">
        <w:rPr>
          <w:lang w:val="nl-BE"/>
        </w:rPr>
        <w:t xml:space="preserve"> (</w:t>
      </w:r>
      <w:r w:rsidR="002C5768" w:rsidRPr="002B0732">
        <w:rPr>
          <w:lang w:val="nl-BE"/>
        </w:rPr>
        <w:t>onder gelding van het oude</w:t>
      </w:r>
      <w:r w:rsidR="002C5768" w:rsidRPr="002B0732">
        <w:rPr>
          <w:b/>
          <w:bCs/>
          <w:lang w:val="nl-BE"/>
        </w:rPr>
        <w:t xml:space="preserve"> </w:t>
      </w:r>
      <w:r w:rsidRPr="002B0732">
        <w:rPr>
          <w:b/>
          <w:bCs/>
          <w:lang w:val="nl-BE"/>
        </w:rPr>
        <w:t xml:space="preserve">artikel </w:t>
      </w:r>
      <w:r w:rsidRPr="002B0732">
        <w:rPr>
          <w:b/>
          <w:lang w:val="nl-BE"/>
        </w:rPr>
        <w:t>383 bis, §2</w:t>
      </w:r>
      <w:r w:rsidRPr="002B0732">
        <w:rPr>
          <w:bCs/>
          <w:lang w:val="nl-BE"/>
        </w:rPr>
        <w:t xml:space="preserve"> was dit één maand tot één jaar</w:t>
      </w:r>
      <w:r w:rsidRPr="002B0732">
        <w:rPr>
          <w:lang w:val="nl-BE"/>
        </w:rPr>
        <w:t xml:space="preserve">) en een geldboete van 500 tot 10.000 euro (voorheen van 100 tot </w:t>
      </w:r>
      <w:r w:rsidR="008C465C" w:rsidRPr="0069784D">
        <w:rPr>
          <w:lang w:val="nl-BE"/>
        </w:rPr>
        <w:t>1.000</w:t>
      </w:r>
      <w:r w:rsidRPr="0069784D">
        <w:rPr>
          <w:lang w:val="nl-BE"/>
        </w:rPr>
        <w:t xml:space="preserve"> euro).</w:t>
      </w:r>
    </w:p>
    <w:p w14:paraId="62C681FD" w14:textId="77777777" w:rsidR="00A76814" w:rsidRPr="0069784D" w:rsidRDefault="00A76814" w:rsidP="009C15CF">
      <w:pPr>
        <w:jc w:val="both"/>
        <w:rPr>
          <w:lang w:val="nl-BE"/>
        </w:rPr>
      </w:pPr>
    </w:p>
    <w:p w14:paraId="367CF8BD" w14:textId="005E74F7" w:rsidR="00A1578F" w:rsidRPr="002B0732" w:rsidRDefault="00A1578F" w:rsidP="009C15CF">
      <w:pPr>
        <w:pStyle w:val="Heading3"/>
        <w:jc w:val="both"/>
        <w:rPr>
          <w:rFonts w:asciiTheme="minorHAnsi" w:hAnsiTheme="minorHAnsi" w:cstheme="minorHAnsi"/>
          <w:color w:val="auto"/>
          <w:sz w:val="28"/>
          <w:szCs w:val="28"/>
          <w:lang w:val="nl-BE"/>
        </w:rPr>
      </w:pPr>
      <w:bookmarkStart w:id="23" w:name="_Toc104134046"/>
      <w:r w:rsidRPr="0069784D">
        <w:rPr>
          <w:rFonts w:asciiTheme="minorHAnsi" w:hAnsiTheme="minorHAnsi" w:cstheme="minorHAnsi"/>
          <w:color w:val="auto"/>
          <w:sz w:val="28"/>
          <w:szCs w:val="28"/>
          <w:lang w:val="nl-BE"/>
        </w:rPr>
        <w:t xml:space="preserve">Artikel </w:t>
      </w:r>
      <w:r w:rsidR="00212F5D" w:rsidRPr="0069784D">
        <w:rPr>
          <w:rFonts w:asciiTheme="minorHAnsi" w:hAnsiTheme="minorHAnsi" w:cstheme="minorHAnsi"/>
          <w:color w:val="auto"/>
          <w:sz w:val="28"/>
          <w:szCs w:val="28"/>
          <w:lang w:val="nl-BE"/>
        </w:rPr>
        <w:t>417/4</w:t>
      </w:r>
      <w:r w:rsidR="005055D8">
        <w:rPr>
          <w:rFonts w:asciiTheme="minorHAnsi" w:hAnsiTheme="minorHAnsi" w:cstheme="minorHAnsi"/>
          <w:color w:val="auto"/>
          <w:sz w:val="28"/>
          <w:szCs w:val="28"/>
          <w:lang w:val="nl-BE"/>
        </w:rPr>
        <w:t>8</w:t>
      </w:r>
      <w:r w:rsidR="00933C62" w:rsidRPr="0069784D">
        <w:rPr>
          <w:rFonts w:asciiTheme="minorHAnsi" w:hAnsiTheme="minorHAnsi" w:cstheme="minorHAnsi"/>
          <w:color w:val="auto"/>
          <w:sz w:val="28"/>
          <w:szCs w:val="28"/>
          <w:lang w:val="nl-BE"/>
        </w:rPr>
        <w:t xml:space="preserve"> -</w:t>
      </w:r>
      <w:r w:rsidR="00212F5D" w:rsidRPr="0069784D">
        <w:rPr>
          <w:rFonts w:asciiTheme="minorHAnsi" w:hAnsiTheme="minorHAnsi" w:cstheme="minorHAnsi"/>
          <w:color w:val="auto"/>
          <w:sz w:val="28"/>
          <w:szCs w:val="28"/>
          <w:lang w:val="nl-BE"/>
        </w:rPr>
        <w:t xml:space="preserve"> </w:t>
      </w:r>
      <w:bookmarkEnd w:id="23"/>
      <w:r w:rsidRPr="002B0732">
        <w:rPr>
          <w:rFonts w:asciiTheme="minorHAnsi" w:hAnsiTheme="minorHAnsi" w:cstheme="minorHAnsi"/>
          <w:color w:val="auto"/>
          <w:sz w:val="28"/>
          <w:szCs w:val="28"/>
          <w:lang w:val="nl-BE"/>
        </w:rPr>
        <w:t>Rechtvaardigingsgrond voor erkende organisaties</w:t>
      </w:r>
    </w:p>
    <w:p w14:paraId="7475BE7E" w14:textId="63DC3E6B" w:rsidR="00F33A00" w:rsidRPr="002B0732" w:rsidRDefault="00F33A00" w:rsidP="009C15CF">
      <w:pPr>
        <w:pStyle w:val="Heading3"/>
        <w:jc w:val="both"/>
        <w:rPr>
          <w:rFonts w:asciiTheme="minorHAnsi" w:hAnsiTheme="minorHAnsi" w:cstheme="minorHAnsi"/>
          <w:color w:val="auto"/>
          <w:sz w:val="22"/>
          <w:szCs w:val="22"/>
          <w:lang w:val="nl-BE"/>
        </w:rPr>
      </w:pPr>
    </w:p>
    <w:p w14:paraId="6419E414" w14:textId="08875275" w:rsidR="00212F5D" w:rsidRPr="002B0732" w:rsidRDefault="006B08E0" w:rsidP="009C15CF">
      <w:pPr>
        <w:jc w:val="both"/>
        <w:rPr>
          <w:lang w:val="nl-BE"/>
        </w:rPr>
      </w:pPr>
      <w:r w:rsidRPr="002B0732">
        <w:rPr>
          <w:lang w:val="nl-BE"/>
        </w:rPr>
        <w:t xml:space="preserve">Er wordt een rechtvaardigingsgrond ingevoerd voor erkende organisaties die als maatschappelijke taak hebben </w:t>
      </w:r>
      <w:r w:rsidR="002C5768" w:rsidRPr="002B0732">
        <w:rPr>
          <w:lang w:val="nl-BE"/>
        </w:rPr>
        <w:t xml:space="preserve">kennis te nemen van </w:t>
      </w:r>
      <w:r w:rsidR="002B0732" w:rsidRPr="002B0732">
        <w:rPr>
          <w:lang w:val="nl-BE"/>
        </w:rPr>
        <w:t>meldingen van kinderpornografie.</w:t>
      </w:r>
    </w:p>
    <w:p w14:paraId="504FBA4B" w14:textId="23535F4F" w:rsidR="00212F5D" w:rsidRPr="002B0732" w:rsidRDefault="006B08E0" w:rsidP="009C15CF">
      <w:pPr>
        <w:jc w:val="both"/>
        <w:rPr>
          <w:lang w:val="nl-BE"/>
        </w:rPr>
      </w:pPr>
      <w:r w:rsidRPr="002B0732">
        <w:rPr>
          <w:lang w:val="nl-BE"/>
        </w:rPr>
        <w:t>Op deze manier kan</w:t>
      </w:r>
      <w:r w:rsidR="00212F5D" w:rsidRPr="002B0732">
        <w:rPr>
          <w:lang w:val="nl-BE"/>
        </w:rPr>
        <w:t xml:space="preserve"> Child </w:t>
      </w:r>
      <w:r w:rsidRPr="002B0732">
        <w:rPr>
          <w:lang w:val="nl-BE"/>
        </w:rPr>
        <w:t>F</w:t>
      </w:r>
      <w:r w:rsidR="00212F5D" w:rsidRPr="002B0732">
        <w:rPr>
          <w:lang w:val="nl-BE"/>
        </w:rPr>
        <w:t xml:space="preserve">ocus </w:t>
      </w:r>
      <w:r w:rsidRPr="002B0732">
        <w:rPr>
          <w:lang w:val="nl-BE"/>
        </w:rPr>
        <w:t>zijn taak vervullen en dergelijke inhoud (laten) vernietigen.</w:t>
      </w:r>
    </w:p>
    <w:p w14:paraId="1DAA9FB9" w14:textId="77777777" w:rsidR="00A76814" w:rsidRPr="0069784D" w:rsidRDefault="00A76814" w:rsidP="009C15CF">
      <w:pPr>
        <w:jc w:val="both"/>
        <w:rPr>
          <w:lang w:val="nl-BE"/>
        </w:rPr>
      </w:pPr>
    </w:p>
    <w:p w14:paraId="35BE32D5" w14:textId="75A42FBA" w:rsidR="00212F5D" w:rsidRPr="0069784D" w:rsidRDefault="00A1578F" w:rsidP="009C15CF">
      <w:pPr>
        <w:pStyle w:val="Heading3"/>
        <w:jc w:val="both"/>
        <w:rPr>
          <w:rFonts w:asciiTheme="minorHAnsi" w:hAnsiTheme="minorHAnsi" w:cstheme="minorHAnsi"/>
          <w:color w:val="auto"/>
          <w:sz w:val="28"/>
          <w:szCs w:val="28"/>
          <w:lang w:val="nl-BE"/>
        </w:rPr>
      </w:pPr>
      <w:bookmarkStart w:id="24" w:name="_Toc104134047"/>
      <w:r w:rsidRPr="0069784D">
        <w:rPr>
          <w:rFonts w:asciiTheme="minorHAnsi" w:hAnsiTheme="minorHAnsi" w:cstheme="minorHAnsi"/>
          <w:color w:val="auto"/>
          <w:sz w:val="28"/>
          <w:szCs w:val="28"/>
          <w:lang w:val="nl-BE"/>
        </w:rPr>
        <w:t xml:space="preserve">Artikel </w:t>
      </w:r>
      <w:r w:rsidR="00212F5D" w:rsidRPr="0069784D">
        <w:rPr>
          <w:rFonts w:asciiTheme="minorHAnsi" w:hAnsiTheme="minorHAnsi" w:cstheme="minorHAnsi"/>
          <w:color w:val="auto"/>
          <w:sz w:val="28"/>
          <w:szCs w:val="28"/>
          <w:lang w:val="nl-BE"/>
        </w:rPr>
        <w:t>417/49</w:t>
      </w:r>
      <w:r w:rsidR="00933C62" w:rsidRPr="0069784D">
        <w:rPr>
          <w:rFonts w:asciiTheme="minorHAnsi" w:hAnsiTheme="minorHAnsi" w:cstheme="minorHAnsi"/>
          <w:color w:val="auto"/>
          <w:sz w:val="28"/>
          <w:szCs w:val="28"/>
          <w:lang w:val="nl-BE"/>
        </w:rPr>
        <w:t xml:space="preserve"> - </w:t>
      </w:r>
      <w:bookmarkEnd w:id="24"/>
      <w:r w:rsidRPr="0069784D">
        <w:rPr>
          <w:rFonts w:asciiTheme="minorHAnsi" w:hAnsiTheme="minorHAnsi" w:cstheme="minorHAnsi"/>
          <w:color w:val="000000"/>
          <w:sz w:val="28"/>
          <w:szCs w:val="28"/>
          <w:lang w:val="nl-BE"/>
        </w:rPr>
        <w:t>Rechtvaardigingsgrond inzake het consensueel maken, bezitten en onderling delen van seksueel getinte inhoud tussen mi</w:t>
      </w:r>
      <w:r w:rsidR="00203A1F" w:rsidRPr="0069784D">
        <w:rPr>
          <w:rFonts w:asciiTheme="minorHAnsi" w:hAnsiTheme="minorHAnsi" w:cstheme="minorHAnsi"/>
          <w:color w:val="000000"/>
          <w:sz w:val="28"/>
          <w:szCs w:val="28"/>
          <w:lang w:val="nl-BE"/>
        </w:rPr>
        <w:t>n</w:t>
      </w:r>
      <w:r w:rsidRPr="0069784D">
        <w:rPr>
          <w:rFonts w:asciiTheme="minorHAnsi" w:hAnsiTheme="minorHAnsi" w:cstheme="minorHAnsi"/>
          <w:color w:val="000000"/>
          <w:sz w:val="28"/>
          <w:szCs w:val="28"/>
          <w:lang w:val="nl-BE"/>
        </w:rPr>
        <w:t>derjarigen ouder dan 16 jaar</w:t>
      </w:r>
    </w:p>
    <w:p w14:paraId="26DCAACE" w14:textId="77777777" w:rsidR="00A1578F" w:rsidRPr="0069784D" w:rsidRDefault="00A1578F" w:rsidP="009C15CF">
      <w:pPr>
        <w:rPr>
          <w:rFonts w:cstheme="minorHAnsi"/>
          <w:lang w:val="nl-BE"/>
        </w:rPr>
      </w:pPr>
    </w:p>
    <w:p w14:paraId="5CB0D8D0" w14:textId="6AC74DA4" w:rsidR="00212F5D" w:rsidRPr="0069784D" w:rsidRDefault="006B08E0" w:rsidP="009C15CF">
      <w:pPr>
        <w:jc w:val="both"/>
        <w:rPr>
          <w:lang w:val="nl-BE"/>
        </w:rPr>
      </w:pPr>
      <w:r w:rsidRPr="0069784D">
        <w:rPr>
          <w:lang w:val="nl-BE"/>
        </w:rPr>
        <w:t>De wetgever streeft ernaar</w:t>
      </w:r>
      <w:r w:rsidR="00212F5D" w:rsidRPr="0069784D">
        <w:rPr>
          <w:b/>
          <w:lang w:val="nl-BE"/>
        </w:rPr>
        <w:t xml:space="preserve"> primaire</w:t>
      </w:r>
      <w:r w:rsidRPr="0069784D">
        <w:rPr>
          <w:b/>
          <w:lang w:val="nl-BE"/>
        </w:rPr>
        <w:t xml:space="preserve"> sexting </w:t>
      </w:r>
      <w:r w:rsidRPr="0069784D">
        <w:rPr>
          <w:bCs/>
          <w:lang w:val="nl-BE"/>
        </w:rPr>
        <w:t>tussen minderjarigen ouder dan 16 jaar</w:t>
      </w:r>
      <w:r w:rsidRPr="0069784D">
        <w:rPr>
          <w:b/>
          <w:lang w:val="nl-BE"/>
        </w:rPr>
        <w:t xml:space="preserve"> </w:t>
      </w:r>
      <w:r w:rsidRPr="0069784D">
        <w:rPr>
          <w:bCs/>
          <w:lang w:val="nl-BE"/>
        </w:rPr>
        <w:t>mogelijk te maken.</w:t>
      </w:r>
    </w:p>
    <w:p w14:paraId="077A8FB0" w14:textId="3F376D7B" w:rsidR="00F33A00" w:rsidRPr="002B0732" w:rsidRDefault="006B08E0" w:rsidP="009C15CF">
      <w:pPr>
        <w:jc w:val="both"/>
        <w:rPr>
          <w:lang w:val="nl-BE"/>
        </w:rPr>
      </w:pPr>
      <w:r w:rsidRPr="0069784D">
        <w:rPr>
          <w:lang w:val="nl-BE"/>
        </w:rPr>
        <w:t>Er wordt een rechtvaardigings</w:t>
      </w:r>
      <w:r w:rsidR="00E97856" w:rsidRPr="0069784D">
        <w:rPr>
          <w:lang w:val="nl-BE"/>
        </w:rPr>
        <w:t>g</w:t>
      </w:r>
      <w:r w:rsidRPr="0069784D">
        <w:rPr>
          <w:lang w:val="nl-BE"/>
        </w:rPr>
        <w:t xml:space="preserve">rond ingevoerd voor minderjarigen boven de volle leeftijd van 16 jaar die zelf </w:t>
      </w:r>
      <w:r w:rsidRPr="0069784D">
        <w:rPr>
          <w:rFonts w:cstheme="minorHAnsi"/>
          <w:color w:val="000000"/>
          <w:lang w:val="nl-BE"/>
        </w:rPr>
        <w:t xml:space="preserve">seksueel </w:t>
      </w:r>
      <w:r w:rsidRPr="002B0732">
        <w:rPr>
          <w:rFonts w:cstheme="minorHAnsi"/>
          <w:lang w:val="nl-BE"/>
        </w:rPr>
        <w:t xml:space="preserve">getinte inhoud maken en deze inhoud onderling delen en in bezit houden, zonder dat er sprake is van verspreiding aan derden, </w:t>
      </w:r>
      <w:r w:rsidR="00D323D6" w:rsidRPr="002B0732">
        <w:rPr>
          <w:rFonts w:cstheme="minorHAnsi"/>
          <w:lang w:val="nl-BE"/>
        </w:rPr>
        <w:t xml:space="preserve">en voor zover één en ander zich </w:t>
      </w:r>
      <w:r w:rsidRPr="002B0732">
        <w:rPr>
          <w:rFonts w:cstheme="minorHAnsi"/>
          <w:lang w:val="nl-BE"/>
        </w:rPr>
        <w:t>buiten de fa</w:t>
      </w:r>
      <w:r w:rsidR="00855455" w:rsidRPr="002B0732">
        <w:rPr>
          <w:rFonts w:cstheme="minorHAnsi"/>
          <w:lang w:val="nl-BE"/>
        </w:rPr>
        <w:t>m</w:t>
      </w:r>
      <w:r w:rsidRPr="002B0732">
        <w:rPr>
          <w:rFonts w:cstheme="minorHAnsi"/>
          <w:lang w:val="nl-BE"/>
        </w:rPr>
        <w:t xml:space="preserve">iliale context of </w:t>
      </w:r>
      <w:r w:rsidR="00D323D6" w:rsidRPr="002B0732">
        <w:rPr>
          <w:rFonts w:cstheme="minorHAnsi"/>
          <w:lang w:val="nl-BE"/>
        </w:rPr>
        <w:t xml:space="preserve">context </w:t>
      </w:r>
      <w:r w:rsidR="00855455" w:rsidRPr="002B0732">
        <w:rPr>
          <w:rFonts w:cstheme="minorHAnsi"/>
          <w:lang w:val="nl-BE"/>
        </w:rPr>
        <w:t>van een gezags- of vertrouwenspositie</w:t>
      </w:r>
      <w:r w:rsidR="00D323D6" w:rsidRPr="002B0732">
        <w:rPr>
          <w:rFonts w:cstheme="minorHAnsi"/>
          <w:lang w:val="nl-BE"/>
        </w:rPr>
        <w:t xml:space="preserve"> situeert.</w:t>
      </w:r>
    </w:p>
    <w:p w14:paraId="03E70A8A" w14:textId="385D6F81" w:rsidR="00E8756A" w:rsidRPr="0069784D" w:rsidRDefault="00D323D6" w:rsidP="009C15CF">
      <w:pPr>
        <w:jc w:val="both"/>
        <w:rPr>
          <w:rFonts w:cstheme="minorHAnsi"/>
          <w:lang w:val="nl-BE"/>
        </w:rPr>
      </w:pPr>
      <w:r w:rsidRPr="002B0732">
        <w:rPr>
          <w:rFonts w:cstheme="minorHAnsi"/>
          <w:b/>
          <w:bCs/>
          <w:lang w:val="nl-BE"/>
        </w:rPr>
        <w:t xml:space="preserve">Er dient te worden opgemerkt </w:t>
      </w:r>
      <w:r w:rsidR="00855455" w:rsidRPr="002B0732">
        <w:rPr>
          <w:rFonts w:cstheme="minorHAnsi"/>
          <w:b/>
          <w:bCs/>
          <w:lang w:val="nl-BE"/>
        </w:rPr>
        <w:t xml:space="preserve">dat een minderjarige die de volle leeftijd van 14 jaar bereikt heeft maar jonger dan 16 jaar is, binnen de </w:t>
      </w:r>
      <w:r w:rsidRPr="002B0732">
        <w:rPr>
          <w:rFonts w:cstheme="minorHAnsi"/>
          <w:b/>
          <w:bCs/>
          <w:lang w:val="nl-BE"/>
        </w:rPr>
        <w:t xml:space="preserve">contouren </w:t>
      </w:r>
      <w:r w:rsidR="00855455" w:rsidRPr="0069784D">
        <w:rPr>
          <w:rFonts w:cstheme="minorHAnsi"/>
          <w:b/>
          <w:bCs/>
          <w:lang w:val="nl-BE"/>
        </w:rPr>
        <w:t>van artikel</w:t>
      </w:r>
      <w:r w:rsidR="00855455" w:rsidRPr="0069784D">
        <w:rPr>
          <w:rFonts w:cstheme="minorHAnsi"/>
          <w:lang w:val="nl-BE"/>
        </w:rPr>
        <w:t xml:space="preserve"> </w:t>
      </w:r>
      <w:r w:rsidR="00E8756A" w:rsidRPr="0069784D">
        <w:rPr>
          <w:rFonts w:cstheme="minorHAnsi"/>
          <w:b/>
          <w:lang w:val="nl-BE"/>
        </w:rPr>
        <w:t>417/6, §2</w:t>
      </w:r>
      <w:r w:rsidR="00855455" w:rsidRPr="0069784D">
        <w:rPr>
          <w:rFonts w:cstheme="minorHAnsi"/>
          <w:b/>
          <w:lang w:val="nl-BE"/>
        </w:rPr>
        <w:t xml:space="preserve"> op een rechtsgeldige manier in kan stemmen met seksuele relaties</w:t>
      </w:r>
      <w:r w:rsidR="00E8756A" w:rsidRPr="0069784D">
        <w:rPr>
          <w:rFonts w:cstheme="minorHAnsi"/>
          <w:b/>
          <w:lang w:val="nl-BE"/>
        </w:rPr>
        <w:t xml:space="preserve"> (ar</w:t>
      </w:r>
      <w:r w:rsidR="00855455" w:rsidRPr="0069784D">
        <w:rPr>
          <w:rFonts w:cstheme="minorHAnsi"/>
          <w:b/>
          <w:lang w:val="nl-BE"/>
        </w:rPr>
        <w:t>tikel</w:t>
      </w:r>
      <w:r w:rsidR="00E8756A" w:rsidRPr="0069784D">
        <w:rPr>
          <w:rFonts w:cstheme="minorHAnsi"/>
          <w:b/>
          <w:lang w:val="nl-BE"/>
        </w:rPr>
        <w:t xml:space="preserve"> 417/6, §2)</w:t>
      </w:r>
      <w:r w:rsidR="00855455" w:rsidRPr="0069784D">
        <w:rPr>
          <w:rFonts w:cstheme="minorHAnsi"/>
          <w:b/>
          <w:lang w:val="nl-BE"/>
        </w:rPr>
        <w:t xml:space="preserve">, maar niet beschikt over de mogelijkheid om op een rechtsgeldige manier seksueel getinte inhoud te maken of te verspreiden. </w:t>
      </w:r>
      <w:r w:rsidR="009F4D67" w:rsidRPr="0069784D">
        <w:rPr>
          <w:rFonts w:cstheme="minorHAnsi"/>
          <w:bCs/>
          <w:lang w:val="nl-BE"/>
        </w:rPr>
        <w:t>De partner van een dergelijke minderjarige is namelijk strafbaar voor het vervaardigen, bezitten of verspreiden van deze inhoud op grond van de artikelen betreffende de beelden van seksueel misbruik van minderjarigen, aangezien de rechtvaardig</w:t>
      </w:r>
      <w:r w:rsidR="00933C62" w:rsidRPr="0069784D">
        <w:rPr>
          <w:rFonts w:cstheme="minorHAnsi"/>
          <w:bCs/>
          <w:lang w:val="nl-BE"/>
        </w:rPr>
        <w:t>ings</w:t>
      </w:r>
      <w:r w:rsidR="009F4D67" w:rsidRPr="0069784D">
        <w:rPr>
          <w:rFonts w:cstheme="minorHAnsi"/>
          <w:bCs/>
          <w:lang w:val="nl-BE"/>
        </w:rPr>
        <w:t xml:space="preserve">grond enkel toegepast kan worden op de wederzijdse </w:t>
      </w:r>
      <w:r w:rsidR="009F4D67" w:rsidRPr="0069784D">
        <w:rPr>
          <w:rFonts w:cstheme="minorHAnsi"/>
          <w:bCs/>
          <w:lang w:val="nl-BE"/>
        </w:rPr>
        <w:lastRenderedPageBreak/>
        <w:t xml:space="preserve">uitwisseling met toestemming tussen </w:t>
      </w:r>
      <w:r w:rsidR="009F4D67" w:rsidRPr="0069784D">
        <w:rPr>
          <w:rFonts w:cstheme="minorHAnsi"/>
          <w:bCs/>
          <w:u w:val="single"/>
          <w:lang w:val="nl-BE"/>
        </w:rPr>
        <w:t>minderjarigen die de volle leeftijd van 16 jaar</w:t>
      </w:r>
      <w:r w:rsidR="009F4D67" w:rsidRPr="0069784D">
        <w:rPr>
          <w:rFonts w:cstheme="minorHAnsi"/>
          <w:bCs/>
          <w:lang w:val="nl-BE"/>
        </w:rPr>
        <w:t xml:space="preserve"> bereikt hebben, terwijl in deze situatie minimaal één van beide partners jonger dan 16 zal zijn.</w:t>
      </w:r>
      <w:r w:rsidR="009F4D67" w:rsidRPr="0069784D">
        <w:rPr>
          <w:rFonts w:cstheme="minorHAnsi"/>
          <w:b/>
          <w:lang w:val="nl-BE"/>
        </w:rPr>
        <w:t xml:space="preserve"> </w:t>
      </w:r>
    </w:p>
    <w:p w14:paraId="518BFB11" w14:textId="3A9DE9C4" w:rsidR="00E8756A" w:rsidRPr="0069784D" w:rsidRDefault="009F4D67" w:rsidP="009C15CF">
      <w:pPr>
        <w:jc w:val="both"/>
        <w:rPr>
          <w:rFonts w:cstheme="minorHAnsi"/>
          <w:lang w:val="nl-BE"/>
        </w:rPr>
      </w:pPr>
      <w:r w:rsidRPr="0069784D">
        <w:rPr>
          <w:rFonts w:cstheme="minorHAnsi"/>
          <w:lang w:val="nl-BE"/>
        </w:rPr>
        <w:t xml:space="preserve">Een </w:t>
      </w:r>
      <w:r w:rsidRPr="0069784D">
        <w:rPr>
          <w:rFonts w:cstheme="minorHAnsi"/>
          <w:b/>
          <w:bCs/>
          <w:lang w:val="nl-BE"/>
        </w:rPr>
        <w:t xml:space="preserve">minderjarige die de volle leeftijd van 16 jaar bereikt heeft en vrijwillig een seksuele relatie onderhoudt met </w:t>
      </w:r>
      <w:r w:rsidRPr="002B0732">
        <w:rPr>
          <w:rFonts w:cstheme="minorHAnsi"/>
          <w:b/>
          <w:bCs/>
          <w:lang w:val="nl-BE"/>
        </w:rPr>
        <w:t>een meerderjarige</w:t>
      </w:r>
      <w:r w:rsidR="008C465C" w:rsidRPr="002B0732">
        <w:rPr>
          <w:rFonts w:cstheme="minorHAnsi"/>
          <w:b/>
          <w:bCs/>
          <w:lang w:val="nl-BE"/>
        </w:rPr>
        <w:t>,</w:t>
      </w:r>
      <w:r w:rsidRPr="002B0732">
        <w:rPr>
          <w:rFonts w:cstheme="minorHAnsi"/>
          <w:b/>
          <w:bCs/>
          <w:lang w:val="nl-BE"/>
        </w:rPr>
        <w:t xml:space="preserve"> kan</w:t>
      </w:r>
      <w:r w:rsidRPr="002B0732">
        <w:rPr>
          <w:rFonts w:cstheme="minorHAnsi"/>
          <w:lang w:val="nl-BE"/>
        </w:rPr>
        <w:t xml:space="preserve"> </w:t>
      </w:r>
      <w:r w:rsidRPr="002B0732">
        <w:rPr>
          <w:rFonts w:cstheme="minorHAnsi"/>
          <w:b/>
          <w:lang w:val="nl-BE"/>
        </w:rPr>
        <w:t>evenmin seksueel getinte inhoud met zijn of haar partner maken</w:t>
      </w:r>
      <w:r w:rsidRPr="002B0732">
        <w:rPr>
          <w:rFonts w:cstheme="minorHAnsi"/>
          <w:bCs/>
          <w:lang w:val="nl-BE"/>
        </w:rPr>
        <w:t xml:space="preserve">, aangezien deze </w:t>
      </w:r>
      <w:r w:rsidR="00D323D6" w:rsidRPr="002B0732">
        <w:rPr>
          <w:rFonts w:cstheme="minorHAnsi"/>
          <w:bCs/>
          <w:lang w:val="nl-BE"/>
        </w:rPr>
        <w:t xml:space="preserve">laatste </w:t>
      </w:r>
      <w:r w:rsidRPr="002B0732">
        <w:rPr>
          <w:rFonts w:cstheme="minorHAnsi"/>
          <w:bCs/>
          <w:lang w:val="nl-BE"/>
        </w:rPr>
        <w:t>ook</w:t>
      </w:r>
      <w:r w:rsidRPr="002B0732">
        <w:rPr>
          <w:rFonts w:cstheme="minorHAnsi"/>
          <w:b/>
          <w:lang w:val="nl-BE"/>
        </w:rPr>
        <w:t xml:space="preserve"> </w:t>
      </w:r>
      <w:r w:rsidRPr="002B0732">
        <w:rPr>
          <w:rFonts w:cstheme="minorHAnsi"/>
          <w:bCs/>
          <w:lang w:val="nl-BE"/>
        </w:rPr>
        <w:t xml:space="preserve">strafbaar </w:t>
      </w:r>
      <w:r w:rsidRPr="0069784D">
        <w:rPr>
          <w:rFonts w:cstheme="minorHAnsi"/>
          <w:bCs/>
          <w:lang w:val="nl-BE"/>
        </w:rPr>
        <w:t xml:space="preserve">is voor het vervaardigen, bezitten of verspreiden van deze inhoud op grond van de artikelen betreffende de beelden van seksueel misbruik van minderjarigen, </w:t>
      </w:r>
      <w:r w:rsidR="008777ED" w:rsidRPr="0069784D">
        <w:rPr>
          <w:rFonts w:cstheme="minorHAnsi"/>
          <w:bCs/>
          <w:lang w:val="nl-BE"/>
        </w:rPr>
        <w:t xml:space="preserve">en </w:t>
      </w:r>
      <w:r w:rsidR="008C465C" w:rsidRPr="0069784D">
        <w:rPr>
          <w:rFonts w:cstheme="minorHAnsi"/>
          <w:bCs/>
          <w:lang w:val="nl-BE"/>
        </w:rPr>
        <w:t xml:space="preserve">evenmin een </w:t>
      </w:r>
      <w:r w:rsidR="008777ED" w:rsidRPr="0069784D">
        <w:rPr>
          <w:rFonts w:cstheme="minorHAnsi"/>
          <w:bCs/>
          <w:lang w:val="nl-BE"/>
        </w:rPr>
        <w:t>beroep kan doen op de</w:t>
      </w:r>
      <w:r w:rsidRPr="0069784D">
        <w:rPr>
          <w:rFonts w:cstheme="minorHAnsi"/>
          <w:bCs/>
          <w:lang w:val="nl-BE"/>
        </w:rPr>
        <w:t xml:space="preserve"> rechtvaardig</w:t>
      </w:r>
      <w:r w:rsidR="00933C62" w:rsidRPr="0069784D">
        <w:rPr>
          <w:rFonts w:cstheme="minorHAnsi"/>
          <w:bCs/>
          <w:lang w:val="nl-BE"/>
        </w:rPr>
        <w:t>ings</w:t>
      </w:r>
      <w:r w:rsidRPr="0069784D">
        <w:rPr>
          <w:rFonts w:cstheme="minorHAnsi"/>
          <w:bCs/>
          <w:lang w:val="nl-BE"/>
        </w:rPr>
        <w:t>grond</w:t>
      </w:r>
      <w:r w:rsidR="008777ED" w:rsidRPr="0069784D">
        <w:rPr>
          <w:rFonts w:cstheme="minorHAnsi"/>
          <w:bCs/>
          <w:lang w:val="nl-BE"/>
        </w:rPr>
        <w:t xml:space="preserve">, die dus voorbehouden blijft voor het uitwisselen en maken van beelden </w:t>
      </w:r>
      <w:r w:rsidR="008777ED" w:rsidRPr="0069784D">
        <w:rPr>
          <w:rFonts w:cstheme="minorHAnsi"/>
          <w:bCs/>
          <w:u w:val="single"/>
          <w:lang w:val="nl-BE"/>
        </w:rPr>
        <w:t>tussen minderjarigen</w:t>
      </w:r>
      <w:r w:rsidR="008777ED" w:rsidRPr="0069784D">
        <w:rPr>
          <w:rFonts w:cstheme="minorHAnsi"/>
          <w:bCs/>
          <w:lang w:val="nl-BE"/>
        </w:rPr>
        <w:t xml:space="preserve"> die de volle leeftijd van 16 jaar bereikt hebben.</w:t>
      </w:r>
    </w:p>
    <w:p w14:paraId="022B9817" w14:textId="77777777" w:rsidR="00CC3E6B" w:rsidRPr="0069784D" w:rsidRDefault="00CC3E6B" w:rsidP="009C15CF">
      <w:pPr>
        <w:jc w:val="both"/>
        <w:rPr>
          <w:bCs/>
          <w:color w:val="000000"/>
          <w:lang w:val="nl-BE"/>
        </w:rPr>
      </w:pPr>
    </w:p>
    <w:p w14:paraId="5D7666D2" w14:textId="7F955D2E" w:rsidR="00366EAB" w:rsidRPr="0069784D" w:rsidRDefault="00537DD9" w:rsidP="009C15CF">
      <w:pPr>
        <w:pStyle w:val="Heading3"/>
        <w:jc w:val="both"/>
        <w:rPr>
          <w:rFonts w:asciiTheme="minorHAnsi" w:hAnsiTheme="minorHAnsi" w:cstheme="minorHAnsi"/>
          <w:color w:val="auto"/>
          <w:sz w:val="28"/>
          <w:szCs w:val="28"/>
          <w:lang w:val="nl-BE"/>
        </w:rPr>
      </w:pPr>
      <w:bookmarkStart w:id="25" w:name="_Toc104134048"/>
      <w:r w:rsidRPr="0069784D">
        <w:rPr>
          <w:rFonts w:asciiTheme="minorHAnsi" w:hAnsiTheme="minorHAnsi" w:cstheme="minorHAnsi"/>
          <w:color w:val="auto"/>
          <w:sz w:val="28"/>
          <w:szCs w:val="28"/>
          <w:lang w:val="nl-BE"/>
        </w:rPr>
        <w:t>Onderafdeling 4</w:t>
      </w:r>
      <w:r w:rsidR="00366EAB" w:rsidRPr="0069784D">
        <w:rPr>
          <w:rFonts w:asciiTheme="minorHAnsi" w:hAnsiTheme="minorHAnsi" w:cstheme="minorHAnsi"/>
          <w:color w:val="auto"/>
          <w:sz w:val="28"/>
          <w:szCs w:val="28"/>
          <w:lang w:val="nl-BE"/>
        </w:rPr>
        <w:t xml:space="preserve">: </w:t>
      </w:r>
      <w:bookmarkEnd w:id="25"/>
      <w:r w:rsidRPr="0069784D">
        <w:rPr>
          <w:rFonts w:asciiTheme="minorHAnsi" w:hAnsiTheme="minorHAnsi" w:cstheme="minorHAnsi"/>
          <w:color w:val="auto"/>
          <w:sz w:val="28"/>
          <w:szCs w:val="28"/>
          <w:lang w:val="nl-BE"/>
        </w:rPr>
        <w:t>Algemene bepaling</w:t>
      </w:r>
    </w:p>
    <w:p w14:paraId="17596065" w14:textId="77777777" w:rsidR="00537DD9" w:rsidRPr="0069784D" w:rsidRDefault="00537DD9" w:rsidP="009C15CF">
      <w:pPr>
        <w:rPr>
          <w:lang w:val="nl-BE"/>
        </w:rPr>
      </w:pPr>
    </w:p>
    <w:p w14:paraId="22537689" w14:textId="20EE07D2" w:rsidR="00366EAB" w:rsidRPr="0069784D" w:rsidRDefault="00C61847" w:rsidP="009C15CF">
      <w:pPr>
        <w:pStyle w:val="Heading3"/>
        <w:jc w:val="both"/>
        <w:rPr>
          <w:rFonts w:asciiTheme="minorHAnsi" w:hAnsiTheme="minorHAnsi" w:cstheme="minorHAnsi"/>
          <w:color w:val="auto"/>
          <w:sz w:val="28"/>
          <w:szCs w:val="28"/>
          <w:lang w:val="nl-BE"/>
        </w:rPr>
      </w:pPr>
      <w:bookmarkStart w:id="26" w:name="_Toc104134049"/>
      <w:r w:rsidRPr="0069784D">
        <w:rPr>
          <w:rFonts w:asciiTheme="minorHAnsi" w:hAnsiTheme="minorHAnsi" w:cstheme="minorHAnsi"/>
          <w:color w:val="auto"/>
          <w:sz w:val="28"/>
          <w:szCs w:val="28"/>
          <w:lang w:val="nl-BE"/>
        </w:rPr>
        <w:t xml:space="preserve">Artikel </w:t>
      </w:r>
      <w:r w:rsidR="00366EAB" w:rsidRPr="0069784D">
        <w:rPr>
          <w:rFonts w:asciiTheme="minorHAnsi" w:hAnsiTheme="minorHAnsi" w:cstheme="minorHAnsi"/>
          <w:color w:val="auto"/>
          <w:sz w:val="28"/>
          <w:szCs w:val="28"/>
          <w:lang w:val="nl-BE"/>
        </w:rPr>
        <w:t>417/50</w:t>
      </w:r>
      <w:r w:rsidR="000A3066">
        <w:rPr>
          <w:rFonts w:asciiTheme="minorHAnsi" w:hAnsiTheme="minorHAnsi" w:cstheme="minorHAnsi"/>
          <w:color w:val="auto"/>
          <w:sz w:val="28"/>
          <w:szCs w:val="28"/>
          <w:lang w:val="nl-BE"/>
        </w:rPr>
        <w:t>:</w:t>
      </w:r>
      <w:r w:rsidRPr="0069784D">
        <w:rPr>
          <w:rFonts w:asciiTheme="minorHAnsi" w:hAnsiTheme="minorHAnsi" w:cstheme="minorHAnsi"/>
          <w:color w:val="auto"/>
          <w:sz w:val="28"/>
          <w:szCs w:val="28"/>
          <w:lang w:val="nl-BE"/>
        </w:rPr>
        <w:t xml:space="preserve"> </w:t>
      </w:r>
      <w:r w:rsidR="00933C62" w:rsidRPr="0069784D">
        <w:rPr>
          <w:rFonts w:asciiTheme="minorHAnsi" w:hAnsiTheme="minorHAnsi" w:cstheme="minorHAnsi"/>
          <w:color w:val="auto"/>
          <w:sz w:val="28"/>
          <w:szCs w:val="28"/>
          <w:lang w:val="nl-BE"/>
        </w:rPr>
        <w:t>V</w:t>
      </w:r>
      <w:r w:rsidRPr="0069784D">
        <w:rPr>
          <w:rFonts w:asciiTheme="minorHAnsi" w:hAnsiTheme="minorHAnsi" w:cstheme="minorHAnsi"/>
          <w:color w:val="auto"/>
          <w:sz w:val="28"/>
          <w:szCs w:val="28"/>
          <w:lang w:val="nl-BE"/>
        </w:rPr>
        <w:t>erzwarende factoren</w:t>
      </w:r>
      <w:bookmarkEnd w:id="26"/>
      <w:r w:rsidRPr="0069784D">
        <w:rPr>
          <w:rStyle w:val="FootnoteReference"/>
          <w:rFonts w:asciiTheme="minorHAnsi" w:hAnsiTheme="minorHAnsi" w:cstheme="minorHAnsi"/>
          <w:color w:val="auto"/>
          <w:sz w:val="22"/>
          <w:szCs w:val="22"/>
          <w:lang w:val="nl-BE"/>
        </w:rPr>
        <w:footnoteReference w:customMarkFollows="1" w:id="65"/>
        <w:t>65</w:t>
      </w:r>
    </w:p>
    <w:p w14:paraId="07972E11" w14:textId="77777777" w:rsidR="00C61847" w:rsidRPr="0069784D" w:rsidRDefault="00C61847" w:rsidP="009C15CF">
      <w:pPr>
        <w:jc w:val="both"/>
        <w:rPr>
          <w:color w:val="000000"/>
          <w:lang w:val="nl-BE"/>
        </w:rPr>
      </w:pPr>
    </w:p>
    <w:p w14:paraId="76F733FE" w14:textId="527E620B" w:rsidR="00CC3E6B" w:rsidRPr="002B0732" w:rsidRDefault="00875675" w:rsidP="009C15CF">
      <w:pPr>
        <w:jc w:val="both"/>
        <w:rPr>
          <w:lang w:val="nl-BE"/>
        </w:rPr>
      </w:pPr>
      <w:r w:rsidRPr="0069784D">
        <w:rPr>
          <w:color w:val="000000"/>
          <w:lang w:val="nl-BE"/>
        </w:rPr>
        <w:t xml:space="preserve">In overeenstemming met  </w:t>
      </w:r>
      <w:r w:rsidR="00D323D6" w:rsidRPr="002B0732">
        <w:rPr>
          <w:lang w:val="nl-BE"/>
        </w:rPr>
        <w:t xml:space="preserve">afdeling </w:t>
      </w:r>
      <w:r w:rsidRPr="002B0732">
        <w:rPr>
          <w:lang w:val="nl-BE"/>
        </w:rPr>
        <w:t xml:space="preserve">1 wordt </w:t>
      </w:r>
      <w:r w:rsidR="00D323D6" w:rsidRPr="002B0732">
        <w:rPr>
          <w:lang w:val="nl-BE"/>
        </w:rPr>
        <w:t xml:space="preserve">voorzien in </w:t>
      </w:r>
      <w:r w:rsidRPr="002B0732">
        <w:rPr>
          <w:lang w:val="nl-BE"/>
        </w:rPr>
        <w:t xml:space="preserve">een lijst van verzwarende factoren </w:t>
      </w:r>
      <w:r w:rsidRPr="002B0732">
        <w:rPr>
          <w:b/>
          <w:bCs/>
          <w:lang w:val="nl-BE"/>
        </w:rPr>
        <w:t>die gemeenschappelijk is voor alle misdrijven betreffende de seksuele uitbuiting van minderjarigen</w:t>
      </w:r>
      <w:r w:rsidRPr="002B0732">
        <w:rPr>
          <w:lang w:val="nl-BE"/>
        </w:rPr>
        <w:t xml:space="preserve"> (</w:t>
      </w:r>
      <w:r w:rsidR="00BD5DB4" w:rsidRPr="002B0732">
        <w:rPr>
          <w:lang w:val="nl-BE"/>
        </w:rPr>
        <w:t>grooming, prostituti</w:t>
      </w:r>
      <w:r w:rsidRPr="002B0732">
        <w:rPr>
          <w:lang w:val="nl-BE"/>
        </w:rPr>
        <w:t>e van minderjarigen, beelden van seksueel misbruik)</w:t>
      </w:r>
      <w:r w:rsidR="00BD5DB4" w:rsidRPr="002B0732">
        <w:rPr>
          <w:lang w:val="nl-BE"/>
        </w:rPr>
        <w:t>:</w:t>
      </w:r>
    </w:p>
    <w:p w14:paraId="0EF55A0F" w14:textId="4B51F814" w:rsidR="00203A1F" w:rsidRPr="0069784D" w:rsidRDefault="00203A1F" w:rsidP="009C15CF">
      <w:pPr>
        <w:pStyle w:val="ListParagraph"/>
        <w:numPr>
          <w:ilvl w:val="0"/>
          <w:numId w:val="24"/>
        </w:numPr>
        <w:jc w:val="both"/>
        <w:rPr>
          <w:color w:val="000000"/>
          <w:lang w:val="nl-BE"/>
        </w:rPr>
      </w:pPr>
      <w:r w:rsidRPr="002B0732">
        <w:rPr>
          <w:lang w:val="nl-BE"/>
        </w:rPr>
        <w:t xml:space="preserve">een van de drijfveren van het misdrijf bestaat uit de haat tegen, het misprijzen van of de vijandigheid tegen een persoon wegens diens zogenaamd </w:t>
      </w:r>
      <w:r w:rsidRPr="0069784D">
        <w:rPr>
          <w:color w:val="000000"/>
          <w:lang w:val="nl-BE"/>
        </w:rPr>
        <w:t>ras, huidskleur, afkomst, nationale of etnische afstamming, nationaliteit, geslacht, zwangerschap, bevalling, ouderschap, geslachtsverandering, genderidentiteit, genderexpressie, seksuele geaardheid, burgerlijke staat, geboorte, leeftijd, vermogen, geloof of levensbeschouwing, gezondheidstoestand, handicap, taal, politieke overtuiging, syndicale overtuiging, fysieke of genetische eigenschap of sociale afkomst en positie, ongeacht of dit kenmerk daadwerkelijk aanwezig is of slechts vermeend is door de dader. Hetzelfde geldt wanneer een van de drijfveren van de dader erin bestaat dat het slachtoffer een band of vermeende band heeft met een persoon ten aanzien van wie hij haat, misprijzen of vijandigheid koestert wegens een of meer van dezelfde werkelijke of vermeende kenmerken;</w:t>
      </w:r>
    </w:p>
    <w:p w14:paraId="2823FCD3" w14:textId="48AE3513" w:rsidR="00203A1F" w:rsidRPr="0069784D" w:rsidRDefault="00203A1F" w:rsidP="009C15CF">
      <w:pPr>
        <w:pStyle w:val="ListParagraph"/>
        <w:numPr>
          <w:ilvl w:val="0"/>
          <w:numId w:val="24"/>
        </w:numPr>
        <w:jc w:val="both"/>
        <w:rPr>
          <w:color w:val="000000"/>
          <w:lang w:val="nl-BE"/>
        </w:rPr>
      </w:pPr>
      <w:r w:rsidRPr="0069784D">
        <w:rPr>
          <w:color w:val="000000"/>
          <w:lang w:val="nl-BE"/>
        </w:rPr>
        <w:t>het misdrijf werd gepleegd door een persoon met een openbare functie in het kader van de uitoefening van deze functie;</w:t>
      </w:r>
    </w:p>
    <w:p w14:paraId="0AF3E2EC" w14:textId="3894EA91" w:rsidR="00203A1F" w:rsidRPr="0069784D" w:rsidRDefault="00203A1F" w:rsidP="009C15CF">
      <w:pPr>
        <w:pStyle w:val="ListParagraph"/>
        <w:numPr>
          <w:ilvl w:val="0"/>
          <w:numId w:val="24"/>
        </w:numPr>
        <w:jc w:val="both"/>
        <w:rPr>
          <w:color w:val="000000"/>
          <w:lang w:val="nl-BE"/>
        </w:rPr>
      </w:pPr>
      <w:r w:rsidRPr="0069784D">
        <w:rPr>
          <w:color w:val="000000"/>
          <w:lang w:val="nl-BE"/>
        </w:rPr>
        <w:t>het misdrijf werd gepleegd door een persoon die zich in een erkende positie van vertrouwen, gezag of invloed ten aanzien van de minderjarige bevindt;</w:t>
      </w:r>
    </w:p>
    <w:p w14:paraId="4AAF3BD7" w14:textId="109F2B8E" w:rsidR="00203A1F" w:rsidRPr="0069784D" w:rsidRDefault="00203A1F" w:rsidP="009C15CF">
      <w:pPr>
        <w:pStyle w:val="ListParagraph"/>
        <w:numPr>
          <w:ilvl w:val="0"/>
          <w:numId w:val="24"/>
        </w:numPr>
        <w:jc w:val="both"/>
        <w:rPr>
          <w:color w:val="000000"/>
          <w:lang w:val="nl-BE"/>
        </w:rPr>
      </w:pPr>
      <w:r w:rsidRPr="0069784D">
        <w:rPr>
          <w:color w:val="000000"/>
          <w:lang w:val="nl-BE"/>
        </w:rPr>
        <w:t>het misdrijf werd gepleegd op een minderjarige beneden de volle leeftijd van tien jaar;</w:t>
      </w:r>
    </w:p>
    <w:p w14:paraId="19A1A57E" w14:textId="0F42E0AA" w:rsidR="00203A1F" w:rsidRPr="0069784D" w:rsidRDefault="00203A1F" w:rsidP="009C15CF">
      <w:pPr>
        <w:pStyle w:val="ListParagraph"/>
        <w:numPr>
          <w:ilvl w:val="0"/>
          <w:numId w:val="24"/>
        </w:numPr>
        <w:jc w:val="both"/>
        <w:rPr>
          <w:color w:val="000000"/>
          <w:lang w:val="nl-BE"/>
        </w:rPr>
      </w:pPr>
      <w:r w:rsidRPr="0069784D">
        <w:rPr>
          <w:color w:val="000000"/>
          <w:lang w:val="nl-BE"/>
        </w:rPr>
        <w:t>het misdrijf werd gepleegd op een minderjarige beneden de volle leeftijd van zestien jaar en is voorafgegaan door een benadering van deze minderjarige vanwege de dader met het oogmerk om op een later tijdstip de in die afdeling bepaalde feiten te plegen;</w:t>
      </w:r>
    </w:p>
    <w:p w14:paraId="0AC37DE9" w14:textId="6832094E" w:rsidR="00BD5DB4" w:rsidRPr="0069784D" w:rsidRDefault="00203A1F" w:rsidP="009C15CF">
      <w:pPr>
        <w:pStyle w:val="ListParagraph"/>
        <w:numPr>
          <w:ilvl w:val="0"/>
          <w:numId w:val="24"/>
        </w:numPr>
        <w:jc w:val="both"/>
        <w:rPr>
          <w:color w:val="000000"/>
          <w:lang w:val="nl-BE"/>
        </w:rPr>
      </w:pPr>
      <w:r w:rsidRPr="0069784D">
        <w:rPr>
          <w:color w:val="000000"/>
          <w:lang w:val="nl-BE"/>
        </w:rPr>
        <w:lastRenderedPageBreak/>
        <w:t>het misdrijf werd gepleegd omwille van culturele drijfveren, gewoontes, tradities, religie of de zogenaamde "eer"</w:t>
      </w:r>
      <w:r w:rsidR="00875675" w:rsidRPr="0069784D">
        <w:rPr>
          <w:rStyle w:val="FootnoteReference"/>
          <w:color w:val="000000"/>
          <w:lang w:val="nl-BE"/>
        </w:rPr>
        <w:footnoteReference w:customMarkFollows="1" w:id="66"/>
        <w:t>66</w:t>
      </w:r>
      <w:r w:rsidR="00062910" w:rsidRPr="0069784D">
        <w:rPr>
          <w:color w:val="000000"/>
          <w:lang w:val="nl-BE"/>
        </w:rPr>
        <w:t>.</w:t>
      </w:r>
    </w:p>
    <w:p w14:paraId="544885D6" w14:textId="55841291" w:rsidR="00203A1F" w:rsidRPr="002B0732" w:rsidRDefault="0029631A" w:rsidP="009C15CF">
      <w:pPr>
        <w:jc w:val="both"/>
        <w:rPr>
          <w:b/>
          <w:lang w:val="nl-BE"/>
        </w:rPr>
      </w:pPr>
      <w:bookmarkStart w:id="27" w:name="_Hlk105440365"/>
      <w:r w:rsidRPr="002B0732">
        <w:rPr>
          <w:b/>
          <w:lang w:val="nl-BE"/>
        </w:rPr>
        <w:t>Het verdient aanbeveling</w:t>
      </w:r>
      <w:r w:rsidR="00203A1F" w:rsidRPr="002B0732">
        <w:rPr>
          <w:b/>
          <w:lang w:val="nl-BE"/>
        </w:rPr>
        <w:t xml:space="preserve"> dat het </w:t>
      </w:r>
      <w:r w:rsidRPr="002B0732">
        <w:rPr>
          <w:b/>
          <w:lang w:val="nl-BE"/>
        </w:rPr>
        <w:t>o</w:t>
      </w:r>
      <w:r w:rsidR="00203A1F" w:rsidRPr="002B0732">
        <w:rPr>
          <w:b/>
          <w:lang w:val="nl-BE"/>
        </w:rPr>
        <w:t xml:space="preserve">penbaar </w:t>
      </w:r>
      <w:r w:rsidRPr="002B0732">
        <w:rPr>
          <w:b/>
          <w:lang w:val="nl-BE"/>
        </w:rPr>
        <w:t>m</w:t>
      </w:r>
      <w:r w:rsidR="00203A1F" w:rsidRPr="002B0732">
        <w:rPr>
          <w:b/>
          <w:lang w:val="nl-BE"/>
        </w:rPr>
        <w:t xml:space="preserve">inisterie in zijn </w:t>
      </w:r>
      <w:r w:rsidR="00E97856" w:rsidRPr="002B0732">
        <w:rPr>
          <w:b/>
          <w:lang w:val="nl-BE"/>
        </w:rPr>
        <w:t>rechtsplegings</w:t>
      </w:r>
      <w:r w:rsidR="00203A1F" w:rsidRPr="002B0732">
        <w:rPr>
          <w:b/>
          <w:lang w:val="nl-BE"/>
        </w:rPr>
        <w:t xml:space="preserve">handelingen (vorderingen en dagvaardingen) deze verzwarende factoren </w:t>
      </w:r>
      <w:r w:rsidR="00E97856" w:rsidRPr="002B0732">
        <w:rPr>
          <w:b/>
          <w:lang w:val="nl-BE"/>
        </w:rPr>
        <w:t xml:space="preserve">duidelijk </w:t>
      </w:r>
      <w:r w:rsidR="00203A1F" w:rsidRPr="002B0732">
        <w:rPr>
          <w:b/>
          <w:lang w:val="nl-BE"/>
        </w:rPr>
        <w:t>aangeeft</w:t>
      </w:r>
      <w:r w:rsidRPr="002B0732">
        <w:rPr>
          <w:b/>
          <w:lang w:val="nl-BE"/>
        </w:rPr>
        <w:t>, in de mate van het mogelijke.</w:t>
      </w:r>
    </w:p>
    <w:bookmarkEnd w:id="27"/>
    <w:p w14:paraId="544BE315" w14:textId="77777777" w:rsidR="00BD5DB4" w:rsidRPr="0069784D" w:rsidRDefault="00BD5DB4" w:rsidP="009C15CF">
      <w:pPr>
        <w:jc w:val="both"/>
        <w:rPr>
          <w:color w:val="000000"/>
          <w:lang w:val="nl-BE"/>
        </w:rPr>
      </w:pPr>
    </w:p>
    <w:p w14:paraId="7E5377AA" w14:textId="209B5067" w:rsidR="00366EAB" w:rsidRPr="0069784D" w:rsidRDefault="00E24734" w:rsidP="009C15CF">
      <w:pPr>
        <w:pStyle w:val="Heading2"/>
        <w:jc w:val="both"/>
        <w:rPr>
          <w:b/>
          <w:color w:val="auto"/>
          <w:sz w:val="36"/>
          <w:szCs w:val="36"/>
          <w:lang w:val="nl-BE"/>
        </w:rPr>
      </w:pPr>
      <w:bookmarkStart w:id="28" w:name="_Toc104134050"/>
      <w:r w:rsidRPr="0069784D">
        <w:rPr>
          <w:b/>
          <w:color w:val="auto"/>
          <w:sz w:val="36"/>
          <w:szCs w:val="36"/>
          <w:lang w:val="nl-BE"/>
        </w:rPr>
        <w:t>Afdeling</w:t>
      </w:r>
      <w:r w:rsidR="00366EAB" w:rsidRPr="0069784D">
        <w:rPr>
          <w:b/>
          <w:color w:val="auto"/>
          <w:sz w:val="36"/>
          <w:szCs w:val="36"/>
          <w:lang w:val="nl-BE"/>
        </w:rPr>
        <w:t xml:space="preserve"> 3: </w:t>
      </w:r>
      <w:bookmarkEnd w:id="28"/>
      <w:r w:rsidR="00466819" w:rsidRPr="0069784D">
        <w:rPr>
          <w:b/>
          <w:color w:val="auto"/>
          <w:sz w:val="36"/>
          <w:szCs w:val="36"/>
          <w:lang w:val="nl-BE"/>
        </w:rPr>
        <w:t>Openbare schennis van de goede zeden</w:t>
      </w:r>
    </w:p>
    <w:p w14:paraId="6DE28BE9" w14:textId="77777777" w:rsidR="00A82C0D" w:rsidRPr="0069784D" w:rsidRDefault="00A82C0D" w:rsidP="009C15CF">
      <w:pPr>
        <w:jc w:val="both"/>
        <w:rPr>
          <w:lang w:val="nl-BE"/>
        </w:rPr>
      </w:pPr>
    </w:p>
    <w:p w14:paraId="6322A932" w14:textId="4350406F" w:rsidR="00366EAB" w:rsidRPr="0069784D" w:rsidRDefault="00E24734" w:rsidP="009C15CF">
      <w:pPr>
        <w:pStyle w:val="Heading3"/>
        <w:jc w:val="both"/>
        <w:rPr>
          <w:rFonts w:asciiTheme="minorHAnsi" w:hAnsiTheme="minorHAnsi" w:cstheme="minorHAnsi"/>
          <w:color w:val="auto"/>
          <w:sz w:val="28"/>
          <w:szCs w:val="28"/>
          <w:lang w:val="nl-BE"/>
        </w:rPr>
      </w:pPr>
      <w:bookmarkStart w:id="29" w:name="_Toc104134051"/>
      <w:r w:rsidRPr="0069784D">
        <w:rPr>
          <w:rFonts w:asciiTheme="minorHAnsi" w:hAnsiTheme="minorHAnsi" w:cstheme="minorHAnsi"/>
          <w:color w:val="auto"/>
          <w:sz w:val="28"/>
          <w:szCs w:val="28"/>
          <w:lang w:val="nl-BE"/>
        </w:rPr>
        <w:t xml:space="preserve">Artikel </w:t>
      </w:r>
      <w:r w:rsidR="00366EAB" w:rsidRPr="0069784D">
        <w:rPr>
          <w:rFonts w:asciiTheme="minorHAnsi" w:hAnsiTheme="minorHAnsi" w:cstheme="minorHAnsi"/>
          <w:color w:val="auto"/>
          <w:sz w:val="28"/>
          <w:szCs w:val="28"/>
          <w:lang w:val="nl-BE"/>
        </w:rPr>
        <w:t>417/51</w:t>
      </w:r>
      <w:r w:rsidR="00933C62" w:rsidRPr="0069784D">
        <w:rPr>
          <w:rFonts w:asciiTheme="minorHAnsi" w:hAnsiTheme="minorHAnsi" w:cstheme="minorHAnsi"/>
          <w:color w:val="auto"/>
          <w:sz w:val="28"/>
          <w:szCs w:val="28"/>
          <w:lang w:val="nl-BE"/>
        </w:rPr>
        <w:t xml:space="preserve"> -</w:t>
      </w:r>
      <w:r w:rsidR="00366EAB" w:rsidRPr="0069784D">
        <w:rPr>
          <w:rFonts w:asciiTheme="minorHAnsi" w:hAnsiTheme="minorHAnsi" w:cstheme="minorHAnsi"/>
          <w:color w:val="auto"/>
          <w:sz w:val="28"/>
          <w:szCs w:val="28"/>
          <w:lang w:val="nl-BE"/>
        </w:rPr>
        <w:t xml:space="preserve"> </w:t>
      </w:r>
      <w:bookmarkEnd w:id="29"/>
      <w:r w:rsidR="00466819" w:rsidRPr="0069784D">
        <w:rPr>
          <w:rFonts w:asciiTheme="minorHAnsi" w:hAnsiTheme="minorHAnsi" w:cstheme="minorHAnsi"/>
          <w:color w:val="000000"/>
          <w:sz w:val="28"/>
          <w:szCs w:val="28"/>
          <w:lang w:val="nl-BE"/>
        </w:rPr>
        <w:t>Vervaardigen of verspreiden van inhoud van extreem pornografische of gewelddadige aard</w:t>
      </w:r>
    </w:p>
    <w:p w14:paraId="44448BA6" w14:textId="77777777" w:rsidR="00466819" w:rsidRPr="0069784D" w:rsidRDefault="00466819" w:rsidP="009C15CF">
      <w:pPr>
        <w:jc w:val="both"/>
        <w:rPr>
          <w:lang w:val="nl-BE"/>
        </w:rPr>
      </w:pPr>
    </w:p>
    <w:p w14:paraId="43C1C77E" w14:textId="78A7F599" w:rsidR="00D47AA2" w:rsidRPr="0069784D" w:rsidRDefault="00D0608F" w:rsidP="009C15CF">
      <w:pPr>
        <w:jc w:val="both"/>
        <w:rPr>
          <w:lang w:val="nl-BE"/>
        </w:rPr>
      </w:pPr>
      <w:r w:rsidRPr="0069784D">
        <w:rPr>
          <w:b/>
          <w:bCs/>
          <w:lang w:val="nl-BE"/>
        </w:rPr>
        <w:t>De vroegere artikelen</w:t>
      </w:r>
      <w:r w:rsidR="00F33A00" w:rsidRPr="0069784D">
        <w:rPr>
          <w:lang w:val="nl-BE"/>
        </w:rPr>
        <w:t xml:space="preserve"> </w:t>
      </w:r>
      <w:r w:rsidR="00F33A00" w:rsidRPr="0069784D">
        <w:rPr>
          <w:b/>
          <w:lang w:val="nl-BE"/>
        </w:rPr>
        <w:t xml:space="preserve">383 </w:t>
      </w:r>
      <w:r w:rsidRPr="0069784D">
        <w:rPr>
          <w:b/>
          <w:lang w:val="nl-BE"/>
        </w:rPr>
        <w:t>tot</w:t>
      </w:r>
      <w:r w:rsidR="00F33A00" w:rsidRPr="0069784D">
        <w:rPr>
          <w:b/>
          <w:lang w:val="nl-BE"/>
        </w:rPr>
        <w:t xml:space="preserve"> 384 </w:t>
      </w:r>
      <w:r w:rsidRPr="0069784D">
        <w:rPr>
          <w:lang w:val="nl-BE"/>
        </w:rPr>
        <w:t xml:space="preserve">van het Strafwetboek, die betrekking hadden op het tentoonstellen, verkopen, verspreiden, vervaardigen of door enig publiciteitsmiddel bekendmaken van </w:t>
      </w:r>
      <w:r w:rsidRPr="0069784D">
        <w:rPr>
          <w:rFonts w:cstheme="minorHAnsi"/>
          <w:lang w:val="nl-BE"/>
        </w:rPr>
        <w:t>l</w:t>
      </w:r>
      <w:r w:rsidRPr="0069784D">
        <w:rPr>
          <w:rFonts w:cstheme="minorHAnsi"/>
          <w:color w:val="000000"/>
          <w:lang w:val="nl-BE"/>
        </w:rPr>
        <w:t>iederen, vlugschriften of andere geschriften, afbeeldingen of prenten, of het voordragen van schunnigheden die strijdig zijn met de goede zeden (met andere woorden: met een seksuele inhoud die door de collectieve moraal veroordeeld wordt),</w:t>
      </w:r>
      <w:r w:rsidR="00E6492F" w:rsidRPr="0069784D">
        <w:rPr>
          <w:b/>
          <w:bCs/>
          <w:color w:val="000000"/>
          <w:sz w:val="27"/>
          <w:szCs w:val="27"/>
          <w:lang w:val="nl-BE"/>
        </w:rPr>
        <w:t xml:space="preserve"> </w:t>
      </w:r>
      <w:r w:rsidR="00E6492F" w:rsidRPr="0069784D">
        <w:rPr>
          <w:rFonts w:cstheme="minorHAnsi"/>
          <w:color w:val="000000"/>
          <w:lang w:val="nl-BE"/>
        </w:rPr>
        <w:t>worden vervangen door een bepaling die het vervaardigen of verspreiden van inhoud</w:t>
      </w:r>
      <w:r w:rsidR="00E6492F" w:rsidRPr="0069784D">
        <w:rPr>
          <w:rStyle w:val="FootnoteReference"/>
          <w:lang w:val="nl-BE"/>
        </w:rPr>
        <w:footnoteReference w:customMarkFollows="1" w:id="67"/>
        <w:t>67</w:t>
      </w:r>
      <w:r w:rsidR="00F33A00" w:rsidRPr="0069784D">
        <w:rPr>
          <w:lang w:val="nl-BE"/>
        </w:rPr>
        <w:t xml:space="preserve"> </w:t>
      </w:r>
      <w:r w:rsidR="00E6492F" w:rsidRPr="0069784D">
        <w:rPr>
          <w:lang w:val="nl-BE"/>
        </w:rPr>
        <w:t xml:space="preserve">van extreem pornografische of gewelddadige aard </w:t>
      </w:r>
      <w:r w:rsidR="008C465C" w:rsidRPr="0069784D">
        <w:rPr>
          <w:lang w:val="nl-BE"/>
        </w:rPr>
        <w:t xml:space="preserve">strafbaar stelt </w:t>
      </w:r>
      <w:r w:rsidR="00F33A00" w:rsidRPr="0069784D">
        <w:rPr>
          <w:lang w:val="nl-BE"/>
        </w:rPr>
        <w:t>(</w:t>
      </w:r>
      <w:r w:rsidR="00E6492F" w:rsidRPr="0069784D">
        <w:rPr>
          <w:lang w:val="nl-BE"/>
        </w:rPr>
        <w:t>gevangenisstraf van één maand tot twee jaar en geldboete van</w:t>
      </w:r>
      <w:r w:rsidR="00F33A00" w:rsidRPr="0069784D">
        <w:rPr>
          <w:lang w:val="nl-BE"/>
        </w:rPr>
        <w:t xml:space="preserve"> 200 </w:t>
      </w:r>
      <w:r w:rsidR="00E6492F" w:rsidRPr="0069784D">
        <w:rPr>
          <w:lang w:val="nl-BE"/>
        </w:rPr>
        <w:t>tot</w:t>
      </w:r>
      <w:r w:rsidR="00F33A00" w:rsidRPr="0069784D">
        <w:rPr>
          <w:lang w:val="nl-BE"/>
        </w:rPr>
        <w:t xml:space="preserve"> 2</w:t>
      </w:r>
      <w:r w:rsidR="008C465C" w:rsidRPr="0069784D">
        <w:rPr>
          <w:lang w:val="nl-BE"/>
        </w:rPr>
        <w:t>.</w:t>
      </w:r>
      <w:r w:rsidR="00F33A00" w:rsidRPr="0069784D">
        <w:rPr>
          <w:lang w:val="nl-BE"/>
        </w:rPr>
        <w:t xml:space="preserve">000 </w:t>
      </w:r>
      <w:r w:rsidR="00E6492F" w:rsidRPr="0069784D">
        <w:rPr>
          <w:lang w:val="nl-BE"/>
        </w:rPr>
        <w:t>euro</w:t>
      </w:r>
      <w:r w:rsidR="00F33A00" w:rsidRPr="0069784D">
        <w:rPr>
          <w:lang w:val="nl-BE"/>
        </w:rPr>
        <w:t xml:space="preserve">). </w:t>
      </w:r>
    </w:p>
    <w:p w14:paraId="7C0F0EED" w14:textId="29E4780C" w:rsidR="00E56C02" w:rsidRPr="002B0732" w:rsidRDefault="007606F4" w:rsidP="009C15CF">
      <w:pPr>
        <w:jc w:val="both"/>
        <w:rPr>
          <w:lang w:val="nl-BE"/>
        </w:rPr>
      </w:pPr>
      <w:r w:rsidRPr="002B0732">
        <w:rPr>
          <w:lang w:val="nl-BE"/>
        </w:rPr>
        <w:t xml:space="preserve">Opnieuw wordt hiermee uiting gegeven aan het streven van de wetgever </w:t>
      </w:r>
      <w:r w:rsidR="00E6492F" w:rsidRPr="002B0732">
        <w:rPr>
          <w:lang w:val="nl-BE"/>
        </w:rPr>
        <w:t xml:space="preserve">om </w:t>
      </w:r>
      <w:r w:rsidRPr="002B0732">
        <w:rPr>
          <w:lang w:val="nl-BE"/>
        </w:rPr>
        <w:t>zich te onthouden van verwijzingen naar enige</w:t>
      </w:r>
      <w:r w:rsidR="00E6492F" w:rsidRPr="002B0732">
        <w:rPr>
          <w:lang w:val="nl-BE"/>
        </w:rPr>
        <w:t xml:space="preserve"> seksuele moraal of een seksuele norm</w:t>
      </w:r>
      <w:r w:rsidRPr="002B0732">
        <w:rPr>
          <w:lang w:val="nl-BE"/>
        </w:rPr>
        <w:t xml:space="preserve"> bij het strafbaar stellen van </w:t>
      </w:r>
      <w:r w:rsidR="00FF705C" w:rsidRPr="002B0732">
        <w:rPr>
          <w:lang w:val="nl-BE"/>
        </w:rPr>
        <w:t xml:space="preserve">het vervaardigen of verspreiden van inhoud die dermate extreem pornografisch of gewelddadig </w:t>
      </w:r>
      <w:r w:rsidR="00E849B0" w:rsidRPr="002B0732">
        <w:rPr>
          <w:lang w:val="nl-BE"/>
        </w:rPr>
        <w:t>is</w:t>
      </w:r>
      <w:r w:rsidR="00FF705C" w:rsidRPr="002B0732">
        <w:rPr>
          <w:lang w:val="nl-BE"/>
        </w:rPr>
        <w:t xml:space="preserve"> dat zij van aard is om bij een normaal en redelijk persoon traumatiserende of andere psychisch schadelijke gevolgen teweeg te brengen</w:t>
      </w:r>
      <w:r w:rsidR="00FF705C" w:rsidRPr="002B0732">
        <w:rPr>
          <w:rStyle w:val="FootnoteReference"/>
          <w:lang w:val="nl-BE"/>
        </w:rPr>
        <w:footnoteReference w:customMarkFollows="1" w:id="68"/>
        <w:t>68</w:t>
      </w:r>
      <w:r w:rsidR="00E56C02" w:rsidRPr="002B0732">
        <w:rPr>
          <w:lang w:val="nl-BE"/>
        </w:rPr>
        <w:t xml:space="preserve">. </w:t>
      </w:r>
      <w:r w:rsidR="00FF705C" w:rsidRPr="002B0732">
        <w:rPr>
          <w:lang w:val="nl-BE"/>
        </w:rPr>
        <w:t>Als voorbe</w:t>
      </w:r>
      <w:r w:rsidR="008C465C" w:rsidRPr="002B0732">
        <w:rPr>
          <w:lang w:val="nl-BE"/>
        </w:rPr>
        <w:t>e</w:t>
      </w:r>
      <w:r w:rsidR="00FF705C" w:rsidRPr="002B0732">
        <w:rPr>
          <w:lang w:val="nl-BE"/>
        </w:rPr>
        <w:t>ld</w:t>
      </w:r>
      <w:r w:rsidR="008C465C" w:rsidRPr="002B0732">
        <w:rPr>
          <w:lang w:val="nl-BE"/>
        </w:rPr>
        <w:t>en</w:t>
      </w:r>
      <w:r w:rsidR="00FF705C" w:rsidRPr="002B0732">
        <w:rPr>
          <w:lang w:val="nl-BE"/>
        </w:rPr>
        <w:t xml:space="preserve"> van extreem pornografische inhoud </w:t>
      </w:r>
      <w:r w:rsidR="00CB0A6C" w:rsidRPr="002B0732">
        <w:rPr>
          <w:lang w:val="nl-BE"/>
        </w:rPr>
        <w:t xml:space="preserve">kan </w:t>
      </w:r>
      <w:r w:rsidR="00FF705C" w:rsidRPr="002B0732">
        <w:rPr>
          <w:lang w:val="nl-BE"/>
        </w:rPr>
        <w:t xml:space="preserve">worden </w:t>
      </w:r>
      <w:r w:rsidRPr="002B0732">
        <w:rPr>
          <w:lang w:val="nl-BE"/>
        </w:rPr>
        <w:t xml:space="preserve">verwezen naar </w:t>
      </w:r>
      <w:r w:rsidR="00E56C02" w:rsidRPr="002B0732">
        <w:rPr>
          <w:i/>
          <w:iCs/>
          <w:lang w:val="nl-BE"/>
        </w:rPr>
        <w:t>rape porn</w:t>
      </w:r>
      <w:r w:rsidR="00FF705C" w:rsidRPr="002B0732">
        <w:rPr>
          <w:lang w:val="nl-BE"/>
        </w:rPr>
        <w:t xml:space="preserve"> of</w:t>
      </w:r>
      <w:r w:rsidR="007F26A7" w:rsidRPr="002B0732">
        <w:rPr>
          <w:lang w:val="nl-BE"/>
        </w:rPr>
        <w:t xml:space="preserve"> bestialiteiten. </w:t>
      </w:r>
      <w:r w:rsidRPr="002B0732">
        <w:rPr>
          <w:lang w:val="nl-BE"/>
        </w:rPr>
        <w:t>A</w:t>
      </w:r>
      <w:r w:rsidR="007F26A7" w:rsidRPr="002B0732">
        <w:rPr>
          <w:lang w:val="nl-BE"/>
        </w:rPr>
        <w:t xml:space="preserve">ls voorbeeld van extreem gewelddadige inhoud </w:t>
      </w:r>
      <w:r w:rsidRPr="002B0732">
        <w:rPr>
          <w:lang w:val="nl-BE"/>
        </w:rPr>
        <w:t xml:space="preserve">kan worden </w:t>
      </w:r>
      <w:r w:rsidR="00CB0A6C" w:rsidRPr="002B0732">
        <w:rPr>
          <w:lang w:val="nl-BE"/>
        </w:rPr>
        <w:t>gedacht aan beelden van folteringen en onthoofdingen</w:t>
      </w:r>
      <w:r w:rsidR="002B0732" w:rsidRPr="002B0732">
        <w:rPr>
          <w:lang w:val="nl-BE"/>
        </w:rPr>
        <w:t>.</w:t>
      </w:r>
    </w:p>
    <w:p w14:paraId="68BC985A" w14:textId="7116A1ED" w:rsidR="002979E8" w:rsidRPr="0069784D" w:rsidRDefault="007F26A7" w:rsidP="009C15CF">
      <w:pPr>
        <w:jc w:val="both"/>
        <w:rPr>
          <w:lang w:val="nl-BE"/>
        </w:rPr>
      </w:pPr>
      <w:r w:rsidRPr="0069784D">
        <w:rPr>
          <w:lang w:val="nl-BE"/>
        </w:rPr>
        <w:t>Het i</w:t>
      </w:r>
      <w:r w:rsidR="00E849B0" w:rsidRPr="0069784D">
        <w:rPr>
          <w:lang w:val="nl-BE"/>
        </w:rPr>
        <w:t>s</w:t>
      </w:r>
      <w:r w:rsidRPr="0069784D">
        <w:rPr>
          <w:lang w:val="nl-BE"/>
        </w:rPr>
        <w:t xml:space="preserve"> dus de bedoeling de publieke moraal in haar geheel en niet een seksuele moraal te beschermen. </w:t>
      </w:r>
    </w:p>
    <w:p w14:paraId="262D9115" w14:textId="3CDE3A61" w:rsidR="002979E8" w:rsidRPr="0069784D" w:rsidRDefault="007F26A7" w:rsidP="009C15CF">
      <w:pPr>
        <w:jc w:val="both"/>
        <w:rPr>
          <w:b/>
          <w:lang w:val="nl-BE"/>
        </w:rPr>
      </w:pPr>
      <w:r w:rsidRPr="0069784D">
        <w:rPr>
          <w:b/>
          <w:lang w:val="nl-BE"/>
        </w:rPr>
        <w:t xml:space="preserve">Dit misdrijf kan ook </w:t>
      </w:r>
      <w:r w:rsidR="00E849B0" w:rsidRPr="002B0732">
        <w:rPr>
          <w:b/>
          <w:lang w:val="nl-BE"/>
        </w:rPr>
        <w:t>v</w:t>
      </w:r>
      <w:r w:rsidR="008C465C" w:rsidRPr="002B0732">
        <w:rPr>
          <w:b/>
          <w:lang w:val="nl-BE"/>
        </w:rPr>
        <w:t>o</w:t>
      </w:r>
      <w:r w:rsidR="00E849B0" w:rsidRPr="002B0732">
        <w:rPr>
          <w:b/>
          <w:lang w:val="nl-BE"/>
        </w:rPr>
        <w:t>orkomen</w:t>
      </w:r>
      <w:r w:rsidRPr="002B0732">
        <w:rPr>
          <w:b/>
          <w:lang w:val="nl-BE"/>
        </w:rPr>
        <w:t xml:space="preserve"> </w:t>
      </w:r>
      <w:r w:rsidR="00CB0A6C" w:rsidRPr="002B0732">
        <w:rPr>
          <w:b/>
          <w:lang w:val="nl-BE"/>
        </w:rPr>
        <w:t xml:space="preserve">buiten </w:t>
      </w:r>
      <w:r w:rsidRPr="002B0732">
        <w:rPr>
          <w:b/>
          <w:lang w:val="nl-BE"/>
        </w:rPr>
        <w:t xml:space="preserve">de </w:t>
      </w:r>
      <w:r w:rsidRPr="0069784D">
        <w:rPr>
          <w:b/>
          <w:lang w:val="nl-BE"/>
        </w:rPr>
        <w:t xml:space="preserve">context van het seksueel geweld. </w:t>
      </w:r>
    </w:p>
    <w:p w14:paraId="3D23AB0B" w14:textId="3A13A9FE" w:rsidR="002979E8" w:rsidRPr="0069784D" w:rsidRDefault="00CB0A6C" w:rsidP="009C15CF">
      <w:pPr>
        <w:jc w:val="both"/>
        <w:rPr>
          <w:lang w:val="nl-BE"/>
        </w:rPr>
      </w:pPr>
      <w:r w:rsidRPr="002B0732">
        <w:rPr>
          <w:lang w:val="nl-BE"/>
        </w:rPr>
        <w:t xml:space="preserve">Het </w:t>
      </w:r>
      <w:r w:rsidR="007F26A7" w:rsidRPr="002B0732">
        <w:rPr>
          <w:lang w:val="nl-BE"/>
        </w:rPr>
        <w:t xml:space="preserve">kan </w:t>
      </w:r>
      <w:r w:rsidRPr="002B0732">
        <w:rPr>
          <w:lang w:val="nl-BE"/>
        </w:rPr>
        <w:t xml:space="preserve">dan ook </w:t>
      </w:r>
      <w:r w:rsidR="007F26A7" w:rsidRPr="002B0732">
        <w:rPr>
          <w:lang w:val="nl-BE"/>
        </w:rPr>
        <w:t>verbazing wekken da</w:t>
      </w:r>
      <w:r w:rsidR="008C465C" w:rsidRPr="002B0732">
        <w:rPr>
          <w:lang w:val="nl-BE"/>
        </w:rPr>
        <w:t>t</w:t>
      </w:r>
      <w:r w:rsidR="007F26A7" w:rsidRPr="002B0732">
        <w:rPr>
          <w:lang w:val="nl-BE"/>
        </w:rPr>
        <w:t xml:space="preserve"> extreem gewelddadige inhoud die niet seksueel van aard is, strafbaar </w:t>
      </w:r>
      <w:r w:rsidRPr="002B0732">
        <w:rPr>
          <w:lang w:val="nl-BE"/>
        </w:rPr>
        <w:t xml:space="preserve">wordt gesteld ingevolge </w:t>
      </w:r>
      <w:r w:rsidR="007F26A7" w:rsidRPr="002B0732">
        <w:rPr>
          <w:lang w:val="nl-BE"/>
        </w:rPr>
        <w:t xml:space="preserve">een </w:t>
      </w:r>
      <w:r w:rsidR="007F26A7" w:rsidRPr="0069784D">
        <w:rPr>
          <w:lang w:val="nl-BE"/>
        </w:rPr>
        <w:t xml:space="preserve">bepaling uit dit nieuwe hoofdstuk </w:t>
      </w:r>
      <w:r w:rsidR="00451053" w:rsidRPr="0069784D">
        <w:rPr>
          <w:lang w:val="nl-BE"/>
        </w:rPr>
        <w:t xml:space="preserve">I/1 </w:t>
      </w:r>
      <w:r w:rsidR="007F26A7" w:rsidRPr="0069784D">
        <w:rPr>
          <w:lang w:val="nl-BE"/>
        </w:rPr>
        <w:t xml:space="preserve">van een wet die erop gericht is het seksueel strafrecht te hervormen. </w:t>
      </w:r>
    </w:p>
    <w:p w14:paraId="1C65ABBA" w14:textId="64383F55" w:rsidR="00E56C02" w:rsidRPr="0069784D" w:rsidRDefault="007F26A7" w:rsidP="009C15CF">
      <w:pPr>
        <w:jc w:val="both"/>
        <w:rPr>
          <w:lang w:val="nl-BE"/>
        </w:rPr>
      </w:pPr>
      <w:r w:rsidRPr="0069784D">
        <w:rPr>
          <w:lang w:val="nl-BE"/>
        </w:rPr>
        <w:lastRenderedPageBreak/>
        <w:t>Alle hypotheses uit de vroegere artikelen</w:t>
      </w:r>
      <w:r w:rsidR="005D6165" w:rsidRPr="0069784D">
        <w:rPr>
          <w:lang w:val="nl-BE"/>
        </w:rPr>
        <w:t xml:space="preserve"> 383 e</w:t>
      </w:r>
      <w:r w:rsidR="00065B31" w:rsidRPr="0069784D">
        <w:rPr>
          <w:lang w:val="nl-BE"/>
        </w:rPr>
        <w:t>n</w:t>
      </w:r>
      <w:r w:rsidR="005D6165" w:rsidRPr="0069784D">
        <w:rPr>
          <w:lang w:val="nl-BE"/>
        </w:rPr>
        <w:t xml:space="preserve"> </w:t>
      </w:r>
      <w:r w:rsidR="005D6165" w:rsidRPr="002B0732">
        <w:rPr>
          <w:lang w:val="nl-BE"/>
        </w:rPr>
        <w:t xml:space="preserve">384 </w:t>
      </w:r>
      <w:r w:rsidR="00CB0A6C" w:rsidRPr="002B0732">
        <w:rPr>
          <w:lang w:val="nl-BE"/>
        </w:rPr>
        <w:t>lijken door</w:t>
      </w:r>
      <w:r w:rsidRPr="002B0732">
        <w:rPr>
          <w:lang w:val="nl-BE"/>
        </w:rPr>
        <w:t xml:space="preserve"> het nieuwe artikel </w:t>
      </w:r>
      <w:r w:rsidR="00CB0A6C" w:rsidRPr="002B0732">
        <w:rPr>
          <w:lang w:val="nl-BE"/>
        </w:rPr>
        <w:t xml:space="preserve">te worden </w:t>
      </w:r>
      <w:r w:rsidR="002B0732" w:rsidRPr="002B0732">
        <w:rPr>
          <w:lang w:val="nl-BE"/>
        </w:rPr>
        <w:t>gedekt.</w:t>
      </w:r>
    </w:p>
    <w:p w14:paraId="0379B32D" w14:textId="77777777" w:rsidR="005D6165" w:rsidRPr="0069784D" w:rsidRDefault="005D6165" w:rsidP="009C15CF">
      <w:pPr>
        <w:jc w:val="both"/>
        <w:rPr>
          <w:lang w:val="nl-BE"/>
        </w:rPr>
      </w:pPr>
    </w:p>
    <w:p w14:paraId="6EDB6617" w14:textId="2FA737A5" w:rsidR="00D47AA2" w:rsidRPr="0069784D" w:rsidRDefault="007F26A7" w:rsidP="009C15CF">
      <w:pPr>
        <w:pStyle w:val="Heading3"/>
        <w:jc w:val="both"/>
        <w:rPr>
          <w:rFonts w:asciiTheme="minorHAnsi" w:hAnsiTheme="minorHAnsi" w:cstheme="minorHAnsi"/>
          <w:color w:val="auto"/>
          <w:sz w:val="28"/>
          <w:szCs w:val="28"/>
          <w:lang w:val="nl-BE"/>
        </w:rPr>
      </w:pPr>
      <w:bookmarkStart w:id="30" w:name="_Toc104134052"/>
      <w:r w:rsidRPr="0069784D">
        <w:rPr>
          <w:rFonts w:asciiTheme="minorHAnsi" w:hAnsiTheme="minorHAnsi" w:cstheme="minorHAnsi"/>
          <w:color w:val="auto"/>
          <w:sz w:val="28"/>
          <w:szCs w:val="28"/>
          <w:lang w:val="nl-BE"/>
        </w:rPr>
        <w:t xml:space="preserve">Artikel </w:t>
      </w:r>
      <w:r w:rsidR="00D47AA2" w:rsidRPr="0069784D">
        <w:rPr>
          <w:rFonts w:asciiTheme="minorHAnsi" w:hAnsiTheme="minorHAnsi" w:cstheme="minorHAnsi"/>
          <w:color w:val="auto"/>
          <w:sz w:val="28"/>
          <w:szCs w:val="28"/>
          <w:lang w:val="nl-BE"/>
        </w:rPr>
        <w:t>417/52</w:t>
      </w:r>
      <w:r w:rsidR="00933C62" w:rsidRPr="0069784D">
        <w:rPr>
          <w:rFonts w:asciiTheme="minorHAnsi" w:hAnsiTheme="minorHAnsi" w:cstheme="minorHAnsi"/>
          <w:color w:val="auto"/>
          <w:sz w:val="28"/>
          <w:szCs w:val="28"/>
          <w:lang w:val="nl-BE"/>
        </w:rPr>
        <w:t xml:space="preserve"> -</w:t>
      </w:r>
      <w:r w:rsidR="00D47AA2" w:rsidRPr="0069784D">
        <w:rPr>
          <w:rFonts w:asciiTheme="minorHAnsi" w:hAnsiTheme="minorHAnsi" w:cstheme="minorHAnsi"/>
          <w:color w:val="auto"/>
          <w:sz w:val="28"/>
          <w:szCs w:val="28"/>
          <w:lang w:val="nl-BE"/>
        </w:rPr>
        <w:t xml:space="preserve"> </w:t>
      </w:r>
      <w:bookmarkEnd w:id="30"/>
      <w:r w:rsidRPr="0069784D">
        <w:rPr>
          <w:rFonts w:asciiTheme="minorHAnsi" w:hAnsiTheme="minorHAnsi" w:cstheme="minorHAnsi"/>
          <w:color w:val="000000"/>
          <w:sz w:val="28"/>
          <w:szCs w:val="28"/>
          <w:lang w:val="nl-BE"/>
        </w:rPr>
        <w:t>Vervaardigen of verspreiden van inhoud van extreem pornografische of gewelddadige aard gepleegd tegenover een minderjarige of een persoon die in een kwetsbare toestand verkeert</w:t>
      </w:r>
    </w:p>
    <w:p w14:paraId="67BAA923" w14:textId="7EF78D96" w:rsidR="007F26A7" w:rsidRPr="0069784D" w:rsidRDefault="007F26A7" w:rsidP="009C15CF">
      <w:pPr>
        <w:jc w:val="both"/>
        <w:rPr>
          <w:lang w:val="nl-BE"/>
        </w:rPr>
      </w:pPr>
    </w:p>
    <w:p w14:paraId="71E868A7" w14:textId="4D44913C" w:rsidR="00F33A00" w:rsidRPr="0069784D" w:rsidRDefault="00E510E6" w:rsidP="009C15CF">
      <w:pPr>
        <w:jc w:val="both"/>
        <w:rPr>
          <w:lang w:val="nl-BE"/>
        </w:rPr>
      </w:pPr>
      <w:r w:rsidRPr="0069784D">
        <w:rPr>
          <w:lang w:val="nl-BE"/>
        </w:rPr>
        <w:t>De straf wordt verzwaard wanneer het vervaardigen of verspreiden betrekking heeft op minderjarigen of kwetsbare personen (leeftijd, zwangerschap, ziekte, duidelijk of gekend lichamelijk gebrek</w:t>
      </w:r>
      <w:r w:rsidR="00933C62" w:rsidRPr="0069784D">
        <w:rPr>
          <w:lang w:val="nl-BE"/>
        </w:rPr>
        <w:t xml:space="preserve"> - </w:t>
      </w:r>
      <w:r w:rsidRPr="0069784D">
        <w:rPr>
          <w:lang w:val="nl-BE"/>
        </w:rPr>
        <w:t xml:space="preserve">gevangenisstraf van één tot vijf jaar en geldboete van </w:t>
      </w:r>
      <w:r w:rsidR="00F33A00" w:rsidRPr="0069784D">
        <w:rPr>
          <w:lang w:val="nl-BE"/>
        </w:rPr>
        <w:t xml:space="preserve">300 </w:t>
      </w:r>
      <w:r w:rsidRPr="0069784D">
        <w:rPr>
          <w:lang w:val="nl-BE"/>
        </w:rPr>
        <w:t>tot</w:t>
      </w:r>
      <w:r w:rsidR="00F33A00" w:rsidRPr="0069784D">
        <w:rPr>
          <w:lang w:val="nl-BE"/>
        </w:rPr>
        <w:t xml:space="preserve"> 3</w:t>
      </w:r>
      <w:r w:rsidR="008C465C" w:rsidRPr="0069784D">
        <w:rPr>
          <w:lang w:val="nl-BE"/>
        </w:rPr>
        <w:t>.</w:t>
      </w:r>
      <w:r w:rsidR="00F33A00" w:rsidRPr="0069784D">
        <w:rPr>
          <w:lang w:val="nl-BE"/>
        </w:rPr>
        <w:t xml:space="preserve">000 </w:t>
      </w:r>
      <w:r w:rsidRPr="0069784D">
        <w:rPr>
          <w:lang w:val="nl-BE"/>
        </w:rPr>
        <w:t>euro</w:t>
      </w:r>
      <w:r w:rsidR="00F33A00" w:rsidRPr="0069784D">
        <w:rPr>
          <w:lang w:val="nl-BE"/>
        </w:rPr>
        <w:t>).</w:t>
      </w:r>
    </w:p>
    <w:p w14:paraId="7C03C8DF" w14:textId="77777777" w:rsidR="00D47AA2" w:rsidRPr="0069784D" w:rsidRDefault="00D47AA2" w:rsidP="009C15CF">
      <w:pPr>
        <w:jc w:val="both"/>
        <w:rPr>
          <w:lang w:val="nl-BE"/>
        </w:rPr>
      </w:pPr>
    </w:p>
    <w:p w14:paraId="383E1D1B" w14:textId="592BD10C" w:rsidR="00F33A00" w:rsidRPr="0069784D" w:rsidRDefault="007F26A7" w:rsidP="009C15CF">
      <w:pPr>
        <w:pStyle w:val="Heading3"/>
        <w:jc w:val="both"/>
        <w:rPr>
          <w:rFonts w:asciiTheme="minorHAnsi" w:hAnsiTheme="minorHAnsi" w:cstheme="minorHAnsi"/>
          <w:color w:val="auto"/>
          <w:sz w:val="28"/>
          <w:szCs w:val="28"/>
          <w:lang w:val="nl-BE"/>
        </w:rPr>
      </w:pPr>
      <w:bookmarkStart w:id="31" w:name="_Toc104134053"/>
      <w:r w:rsidRPr="0069784D">
        <w:rPr>
          <w:rFonts w:asciiTheme="minorHAnsi" w:hAnsiTheme="minorHAnsi" w:cstheme="minorHAnsi"/>
          <w:color w:val="auto"/>
          <w:sz w:val="28"/>
          <w:szCs w:val="28"/>
          <w:lang w:val="nl-BE"/>
        </w:rPr>
        <w:t xml:space="preserve">Artikel </w:t>
      </w:r>
      <w:r w:rsidR="00366EAB" w:rsidRPr="0069784D">
        <w:rPr>
          <w:rFonts w:asciiTheme="minorHAnsi" w:hAnsiTheme="minorHAnsi" w:cstheme="minorHAnsi"/>
          <w:color w:val="auto"/>
          <w:sz w:val="28"/>
          <w:szCs w:val="28"/>
          <w:lang w:val="nl-BE"/>
        </w:rPr>
        <w:t>417/53</w:t>
      </w:r>
      <w:r w:rsidR="00933C62" w:rsidRPr="0069784D">
        <w:rPr>
          <w:rFonts w:asciiTheme="minorHAnsi" w:hAnsiTheme="minorHAnsi" w:cstheme="minorHAnsi"/>
          <w:color w:val="auto"/>
          <w:sz w:val="28"/>
          <w:szCs w:val="28"/>
          <w:lang w:val="nl-BE"/>
        </w:rPr>
        <w:t xml:space="preserve"> -</w:t>
      </w:r>
      <w:r w:rsidR="00D47AA2" w:rsidRPr="0069784D">
        <w:rPr>
          <w:rFonts w:asciiTheme="minorHAnsi" w:hAnsiTheme="minorHAnsi" w:cstheme="minorHAnsi"/>
          <w:color w:val="auto"/>
          <w:sz w:val="28"/>
          <w:szCs w:val="28"/>
          <w:lang w:val="nl-BE"/>
        </w:rPr>
        <w:t xml:space="preserve"> E</w:t>
      </w:r>
      <w:r w:rsidR="00366EAB" w:rsidRPr="0069784D">
        <w:rPr>
          <w:rFonts w:asciiTheme="minorHAnsi" w:hAnsiTheme="minorHAnsi" w:cstheme="minorHAnsi"/>
          <w:color w:val="auto"/>
          <w:sz w:val="28"/>
          <w:szCs w:val="28"/>
          <w:lang w:val="nl-BE"/>
        </w:rPr>
        <w:t>xhibi</w:t>
      </w:r>
      <w:r w:rsidR="00D47AA2" w:rsidRPr="0069784D">
        <w:rPr>
          <w:rFonts w:asciiTheme="minorHAnsi" w:hAnsiTheme="minorHAnsi" w:cstheme="minorHAnsi"/>
          <w:color w:val="auto"/>
          <w:sz w:val="28"/>
          <w:szCs w:val="28"/>
          <w:lang w:val="nl-BE"/>
        </w:rPr>
        <w:t>tionisme</w:t>
      </w:r>
      <w:bookmarkEnd w:id="31"/>
    </w:p>
    <w:p w14:paraId="04243484" w14:textId="77777777" w:rsidR="00E510E6" w:rsidRPr="0069784D" w:rsidRDefault="00E510E6" w:rsidP="009C15CF">
      <w:pPr>
        <w:rPr>
          <w:lang w:val="nl-BE"/>
        </w:rPr>
      </w:pPr>
    </w:p>
    <w:p w14:paraId="41EF65A8" w14:textId="58700A9F" w:rsidR="00F33A00" w:rsidRPr="0069784D" w:rsidRDefault="00E510E6" w:rsidP="009C15CF">
      <w:pPr>
        <w:jc w:val="both"/>
        <w:rPr>
          <w:lang w:val="nl-BE"/>
        </w:rPr>
      </w:pPr>
      <w:r w:rsidRPr="0069784D">
        <w:rPr>
          <w:lang w:val="nl-BE"/>
        </w:rPr>
        <w:t>Het vroegere artikel</w:t>
      </w:r>
      <w:r w:rsidR="00F33A00" w:rsidRPr="0069784D">
        <w:rPr>
          <w:lang w:val="nl-BE"/>
        </w:rPr>
        <w:t xml:space="preserve"> </w:t>
      </w:r>
      <w:r w:rsidR="00F33A00" w:rsidRPr="0069784D">
        <w:rPr>
          <w:b/>
          <w:lang w:val="nl-BE"/>
        </w:rPr>
        <w:t xml:space="preserve">385 </w:t>
      </w:r>
      <w:r w:rsidRPr="0069784D">
        <w:rPr>
          <w:b/>
          <w:lang w:val="nl-BE"/>
        </w:rPr>
        <w:t xml:space="preserve">van het Strafwetboek </w:t>
      </w:r>
      <w:r w:rsidRPr="0069784D">
        <w:rPr>
          <w:bCs/>
          <w:lang w:val="nl-BE"/>
        </w:rPr>
        <w:t xml:space="preserve">had betrekking op de openbare schending van de goede </w:t>
      </w:r>
      <w:r w:rsidRPr="002B0732">
        <w:rPr>
          <w:bCs/>
          <w:lang w:val="nl-BE"/>
        </w:rPr>
        <w:t xml:space="preserve">zeden </w:t>
      </w:r>
      <w:r w:rsidR="005F7154" w:rsidRPr="002B0732">
        <w:rPr>
          <w:bCs/>
          <w:lang w:val="nl-BE"/>
        </w:rPr>
        <w:t xml:space="preserve">door handelingen </w:t>
      </w:r>
      <w:r w:rsidRPr="002B0732">
        <w:rPr>
          <w:bCs/>
          <w:lang w:val="nl-BE"/>
        </w:rPr>
        <w:t xml:space="preserve">die de </w:t>
      </w:r>
      <w:r w:rsidRPr="0069784D">
        <w:rPr>
          <w:bCs/>
          <w:lang w:val="nl-BE"/>
        </w:rPr>
        <w:t xml:space="preserve">eerbaarheid kwetsen en werd bestraft met een gevangenisstraf van acht dagen tot één jaar en een geldboete van 26 tot </w:t>
      </w:r>
      <w:r w:rsidR="00F33A00" w:rsidRPr="0069784D">
        <w:rPr>
          <w:bCs/>
          <w:lang w:val="nl-BE"/>
        </w:rPr>
        <w:t xml:space="preserve">500 </w:t>
      </w:r>
      <w:r w:rsidRPr="0069784D">
        <w:rPr>
          <w:bCs/>
          <w:lang w:val="nl-BE"/>
        </w:rPr>
        <w:t>euro.</w:t>
      </w:r>
    </w:p>
    <w:p w14:paraId="181BB780" w14:textId="5CE27B71" w:rsidR="00F33A00" w:rsidRPr="002B0732" w:rsidRDefault="00E510E6" w:rsidP="009C15CF">
      <w:pPr>
        <w:jc w:val="both"/>
        <w:rPr>
          <w:lang w:val="nl-BE"/>
        </w:rPr>
      </w:pPr>
      <w:r w:rsidRPr="0069784D">
        <w:rPr>
          <w:lang w:val="nl-BE"/>
        </w:rPr>
        <w:t>Dit artikel wordt vervangen door het misdrijf ‘</w:t>
      </w:r>
      <w:r w:rsidR="00F33A00" w:rsidRPr="0069784D">
        <w:rPr>
          <w:lang w:val="nl-BE"/>
        </w:rPr>
        <w:t>exhibitionisme</w:t>
      </w:r>
      <w:r w:rsidRPr="0069784D">
        <w:rPr>
          <w:lang w:val="nl-BE"/>
        </w:rPr>
        <w:t>’, dat het opdringen aan andermans zicht van de eigen ontblote geslachtsdelen of van een seksuele daad in een openbare plaats impliceert</w:t>
      </w:r>
      <w:r w:rsidR="00F33A00" w:rsidRPr="0069784D">
        <w:rPr>
          <w:lang w:val="nl-BE"/>
        </w:rPr>
        <w:t xml:space="preserve"> </w:t>
      </w:r>
      <w:r w:rsidR="002979E8" w:rsidRPr="0069784D">
        <w:rPr>
          <w:lang w:val="nl-BE"/>
        </w:rPr>
        <w:t>(</w:t>
      </w:r>
      <w:r w:rsidRPr="0069784D">
        <w:rPr>
          <w:lang w:val="nl-BE"/>
        </w:rPr>
        <w:t xml:space="preserve">in de memorie van toelichting wordt hieraan toegevoegd: </w:t>
      </w:r>
      <w:r w:rsidR="00065B31" w:rsidRPr="0069784D">
        <w:rPr>
          <w:lang w:val="nl-BE"/>
        </w:rPr>
        <w:t>“</w:t>
      </w:r>
      <w:r w:rsidRPr="0069784D">
        <w:rPr>
          <w:b/>
          <w:bCs/>
          <w:lang w:val="nl-BE"/>
        </w:rPr>
        <w:t>met het oogmerk de eigen seksuele driften te voldoen</w:t>
      </w:r>
      <w:r w:rsidR="00065B31" w:rsidRPr="0069784D">
        <w:rPr>
          <w:b/>
          <w:bCs/>
          <w:lang w:val="nl-BE"/>
        </w:rPr>
        <w:t>”</w:t>
      </w:r>
      <w:r w:rsidRPr="0069784D">
        <w:rPr>
          <w:rStyle w:val="FootnoteReference"/>
          <w:lang w:val="nl-BE"/>
        </w:rPr>
        <w:footnoteReference w:customMarkFollows="1" w:id="69"/>
        <w:t>69</w:t>
      </w:r>
      <w:r w:rsidR="002979E8" w:rsidRPr="0069784D">
        <w:rPr>
          <w:lang w:val="nl-BE"/>
        </w:rPr>
        <w:t>)</w:t>
      </w:r>
      <w:r w:rsidR="00F33A00" w:rsidRPr="0069784D">
        <w:rPr>
          <w:lang w:val="nl-BE"/>
        </w:rPr>
        <w:t>.</w:t>
      </w:r>
    </w:p>
    <w:p w14:paraId="7A5B5854" w14:textId="26C3A063" w:rsidR="00F33A00" w:rsidRPr="002B0732" w:rsidRDefault="00E510E6" w:rsidP="009C15CF">
      <w:pPr>
        <w:jc w:val="both"/>
        <w:rPr>
          <w:lang w:val="nl-BE"/>
        </w:rPr>
      </w:pPr>
      <w:r w:rsidRPr="002B0732">
        <w:rPr>
          <w:lang w:val="nl-BE"/>
        </w:rPr>
        <w:t>Deze tenlastelegging uit art</w:t>
      </w:r>
      <w:r w:rsidR="00065B31" w:rsidRPr="002B0732">
        <w:rPr>
          <w:lang w:val="nl-BE"/>
        </w:rPr>
        <w:t>i</w:t>
      </w:r>
      <w:r w:rsidRPr="002B0732">
        <w:rPr>
          <w:lang w:val="nl-BE"/>
        </w:rPr>
        <w:t>kel</w:t>
      </w:r>
      <w:r w:rsidR="00F33A00" w:rsidRPr="002B0732">
        <w:rPr>
          <w:lang w:val="nl-BE"/>
        </w:rPr>
        <w:t xml:space="preserve"> 417/53</w:t>
      </w:r>
      <w:r w:rsidR="00065B31" w:rsidRPr="002B0732">
        <w:rPr>
          <w:lang w:val="nl-BE"/>
        </w:rPr>
        <w:t xml:space="preserve"> veronderstelt dus </w:t>
      </w:r>
      <w:r w:rsidR="005F7154" w:rsidRPr="002B0732">
        <w:rPr>
          <w:lang w:val="nl-BE"/>
        </w:rPr>
        <w:t xml:space="preserve">het opdringen van de uiting van </w:t>
      </w:r>
      <w:r w:rsidR="00065B31" w:rsidRPr="002B0732">
        <w:rPr>
          <w:lang w:val="nl-BE"/>
        </w:rPr>
        <w:t>een seksuele drift aan een andere persoon in een openbare plaats</w:t>
      </w:r>
      <w:r w:rsidR="005F7154" w:rsidRPr="002B0732">
        <w:rPr>
          <w:lang w:val="nl-BE"/>
        </w:rPr>
        <w:t>, meer bepaald</w:t>
      </w:r>
      <w:r w:rsidR="00065B31" w:rsidRPr="002B0732">
        <w:rPr>
          <w:lang w:val="nl-BE"/>
        </w:rPr>
        <w:t> een</w:t>
      </w:r>
      <w:r w:rsidR="002B0732" w:rsidRPr="002B0732">
        <w:rPr>
          <w:lang w:val="nl-BE"/>
        </w:rPr>
        <w:t xml:space="preserve"> </w:t>
      </w:r>
      <w:r w:rsidR="005F7154" w:rsidRPr="002B0732">
        <w:rPr>
          <w:lang w:val="nl-BE"/>
        </w:rPr>
        <w:t xml:space="preserve">zelfs </w:t>
      </w:r>
      <w:r w:rsidR="00065B31" w:rsidRPr="002B0732">
        <w:rPr>
          <w:lang w:val="nl-BE"/>
        </w:rPr>
        <w:t>virtuele</w:t>
      </w:r>
      <w:r w:rsidR="005F7154" w:rsidRPr="002B0732">
        <w:rPr>
          <w:lang w:val="nl-BE"/>
        </w:rPr>
        <w:t xml:space="preserve"> –</w:t>
      </w:r>
      <w:r w:rsidR="00065B31" w:rsidRPr="002B0732">
        <w:rPr>
          <w:lang w:val="nl-BE"/>
        </w:rPr>
        <w:t xml:space="preserve"> ruimte</w:t>
      </w:r>
      <w:r w:rsidR="005F7154" w:rsidRPr="002B0732">
        <w:rPr>
          <w:lang w:val="nl-BE"/>
        </w:rPr>
        <w:t xml:space="preserve">, ook al staat die slechts </w:t>
      </w:r>
      <w:r w:rsidR="00065B31" w:rsidRPr="002B0732">
        <w:rPr>
          <w:lang w:val="nl-BE"/>
        </w:rPr>
        <w:t xml:space="preserve">tijdelijk en toevallig ter beschikking van het openbare verkeer of </w:t>
      </w:r>
      <w:r w:rsidR="005F7154" w:rsidRPr="002B0732">
        <w:rPr>
          <w:lang w:val="nl-BE"/>
        </w:rPr>
        <w:t xml:space="preserve">ten aanzien van </w:t>
      </w:r>
      <w:r w:rsidR="00065B31" w:rsidRPr="002B0732">
        <w:rPr>
          <w:lang w:val="nl-BE"/>
        </w:rPr>
        <w:t>een derde in een private ruimte</w:t>
      </w:r>
      <w:r w:rsidR="00E849B0" w:rsidRPr="002B0732">
        <w:rPr>
          <w:lang w:val="nl-BE"/>
        </w:rPr>
        <w:t>).</w:t>
      </w:r>
    </w:p>
    <w:p w14:paraId="1D587C83" w14:textId="44BEC124" w:rsidR="00F33A00" w:rsidRPr="0069784D" w:rsidRDefault="00065B31" w:rsidP="009C15CF">
      <w:pPr>
        <w:jc w:val="both"/>
        <w:rPr>
          <w:lang w:val="nl-BE"/>
        </w:rPr>
      </w:pPr>
      <w:r w:rsidRPr="002B0732">
        <w:rPr>
          <w:lang w:val="nl-BE"/>
        </w:rPr>
        <w:t xml:space="preserve">Het verspreiden van foto’s van geslachtsorganen valt daarentegen niet onder </w:t>
      </w:r>
      <w:r w:rsidRPr="0069784D">
        <w:rPr>
          <w:lang w:val="nl-BE"/>
        </w:rPr>
        <w:t xml:space="preserve">deze strafbaarstelling (geen publieke ontbloting), maar dergelijk gedrag kan als belaging bestraft worden. </w:t>
      </w:r>
    </w:p>
    <w:p w14:paraId="66AD79F1" w14:textId="213781AD" w:rsidR="005D6165" w:rsidRPr="0069784D" w:rsidRDefault="00065B31" w:rsidP="009C15CF">
      <w:pPr>
        <w:jc w:val="both"/>
        <w:rPr>
          <w:lang w:val="nl-BE"/>
        </w:rPr>
      </w:pPr>
      <w:r w:rsidRPr="0069784D">
        <w:rPr>
          <w:lang w:val="nl-BE"/>
        </w:rPr>
        <w:t xml:space="preserve">Wildplassen </w:t>
      </w:r>
      <w:r w:rsidR="008C465C" w:rsidRPr="0069784D">
        <w:rPr>
          <w:lang w:val="nl-BE"/>
        </w:rPr>
        <w:t>kan evenmin via deze</w:t>
      </w:r>
      <w:r w:rsidRPr="0069784D">
        <w:rPr>
          <w:lang w:val="nl-BE"/>
        </w:rPr>
        <w:t xml:space="preserve"> bepaling</w:t>
      </w:r>
      <w:r w:rsidR="008C465C" w:rsidRPr="0069784D">
        <w:rPr>
          <w:lang w:val="nl-BE"/>
        </w:rPr>
        <w:t xml:space="preserve"> bestraft worden</w:t>
      </w:r>
      <w:r w:rsidRPr="0069784D">
        <w:rPr>
          <w:rStyle w:val="FootnoteReference"/>
          <w:lang w:val="nl-BE"/>
        </w:rPr>
        <w:footnoteReference w:customMarkFollows="1" w:id="70"/>
        <w:t>70</w:t>
      </w:r>
      <w:r w:rsidR="002979E8" w:rsidRPr="0069784D">
        <w:rPr>
          <w:lang w:val="nl-BE"/>
        </w:rPr>
        <w:t xml:space="preserve">. </w:t>
      </w:r>
    </w:p>
    <w:p w14:paraId="282BEFEA" w14:textId="6BCC56BD" w:rsidR="00F33A00" w:rsidRPr="0069784D" w:rsidRDefault="008F4D6F" w:rsidP="009C15CF">
      <w:pPr>
        <w:jc w:val="both"/>
        <w:rPr>
          <w:lang w:val="nl-BE"/>
        </w:rPr>
      </w:pPr>
      <w:r w:rsidRPr="0069784D">
        <w:rPr>
          <w:lang w:val="nl-BE"/>
        </w:rPr>
        <w:t>Exhibitionisme wordt bestraft met een gevangenisstraf van acht dagen tot één jaar en een geldboete van 26 tot 500 euro</w:t>
      </w:r>
      <w:r w:rsidR="00F33A00" w:rsidRPr="0069784D">
        <w:rPr>
          <w:lang w:val="nl-BE"/>
        </w:rPr>
        <w:t xml:space="preserve"> </w:t>
      </w:r>
      <w:r w:rsidRPr="0069784D">
        <w:rPr>
          <w:lang w:val="nl-BE"/>
        </w:rPr>
        <w:t xml:space="preserve">(zelfde straf als deze uit het vroegere artikel 385, lid 1 van het Strafwetboek). </w:t>
      </w:r>
    </w:p>
    <w:p w14:paraId="19288E9E" w14:textId="60E89314" w:rsidR="008F4D6F" w:rsidRDefault="008F4D6F" w:rsidP="009C15CF">
      <w:pPr>
        <w:jc w:val="both"/>
        <w:rPr>
          <w:lang w:val="nl-BE"/>
        </w:rPr>
      </w:pPr>
    </w:p>
    <w:p w14:paraId="555F548F" w14:textId="77777777" w:rsidR="003C2CA9" w:rsidRPr="0069784D" w:rsidRDefault="003C2CA9" w:rsidP="009C15CF">
      <w:pPr>
        <w:jc w:val="both"/>
        <w:rPr>
          <w:lang w:val="nl-BE"/>
        </w:rPr>
      </w:pPr>
    </w:p>
    <w:p w14:paraId="389FA3EC" w14:textId="41DDFEB7" w:rsidR="00CB30EC" w:rsidRPr="0069784D" w:rsidRDefault="008F4D6F" w:rsidP="009C15CF">
      <w:pPr>
        <w:pStyle w:val="Heading3"/>
        <w:jc w:val="both"/>
        <w:rPr>
          <w:rFonts w:asciiTheme="minorHAnsi" w:hAnsiTheme="minorHAnsi" w:cstheme="minorHAnsi"/>
          <w:color w:val="auto"/>
          <w:sz w:val="28"/>
          <w:szCs w:val="28"/>
          <w:lang w:val="nl-BE"/>
        </w:rPr>
      </w:pPr>
      <w:bookmarkStart w:id="32" w:name="_Toc104134054"/>
      <w:r w:rsidRPr="0069784D">
        <w:rPr>
          <w:rFonts w:asciiTheme="minorHAnsi" w:hAnsiTheme="minorHAnsi" w:cstheme="minorHAnsi"/>
          <w:color w:val="auto"/>
          <w:sz w:val="28"/>
          <w:szCs w:val="28"/>
          <w:lang w:val="nl-BE"/>
        </w:rPr>
        <w:lastRenderedPageBreak/>
        <w:t xml:space="preserve">Artikel </w:t>
      </w:r>
      <w:r w:rsidR="00CB30EC" w:rsidRPr="0069784D">
        <w:rPr>
          <w:rFonts w:asciiTheme="minorHAnsi" w:hAnsiTheme="minorHAnsi" w:cstheme="minorHAnsi"/>
          <w:color w:val="auto"/>
          <w:sz w:val="28"/>
          <w:szCs w:val="28"/>
          <w:lang w:val="nl-BE"/>
        </w:rPr>
        <w:t>417/54</w:t>
      </w:r>
      <w:r w:rsidR="00933C62" w:rsidRPr="0069784D">
        <w:rPr>
          <w:rFonts w:asciiTheme="minorHAnsi" w:hAnsiTheme="minorHAnsi" w:cstheme="minorHAnsi"/>
          <w:color w:val="auto"/>
          <w:sz w:val="28"/>
          <w:szCs w:val="28"/>
          <w:lang w:val="nl-BE"/>
        </w:rPr>
        <w:t xml:space="preserve"> - </w:t>
      </w:r>
      <w:bookmarkEnd w:id="32"/>
      <w:r w:rsidRPr="0069784D">
        <w:rPr>
          <w:rFonts w:asciiTheme="minorHAnsi" w:hAnsiTheme="minorHAnsi" w:cstheme="minorHAnsi"/>
          <w:color w:val="000000"/>
          <w:sz w:val="28"/>
          <w:szCs w:val="28"/>
          <w:lang w:val="nl-BE"/>
        </w:rPr>
        <w:t>Exhibitionisme in aanwezigheid van een minderjarige of een persoon die in een kwetsbare toestand verkeert</w:t>
      </w:r>
    </w:p>
    <w:p w14:paraId="0346EA8C" w14:textId="77777777" w:rsidR="008F4D6F" w:rsidRPr="0069784D" w:rsidRDefault="008F4D6F" w:rsidP="009C15CF">
      <w:pPr>
        <w:jc w:val="both"/>
        <w:rPr>
          <w:lang w:val="nl-BE"/>
        </w:rPr>
      </w:pPr>
    </w:p>
    <w:p w14:paraId="5F606C40" w14:textId="034AD877" w:rsidR="00F33A00" w:rsidRPr="0069784D" w:rsidRDefault="008F4D6F" w:rsidP="009C15CF">
      <w:pPr>
        <w:jc w:val="both"/>
        <w:rPr>
          <w:lang w:val="nl-BE"/>
        </w:rPr>
      </w:pPr>
      <w:r w:rsidRPr="0069784D">
        <w:rPr>
          <w:lang w:val="nl-BE"/>
        </w:rPr>
        <w:t>Wanneer de feiten gepleegd worden ten aanzien van een minderjarige of een kwetsbaar pers</w:t>
      </w:r>
      <w:r w:rsidR="008C465C" w:rsidRPr="0069784D">
        <w:rPr>
          <w:lang w:val="nl-BE"/>
        </w:rPr>
        <w:t>o</w:t>
      </w:r>
      <w:r w:rsidRPr="0069784D">
        <w:rPr>
          <w:lang w:val="nl-BE"/>
        </w:rPr>
        <w:t>on, wordt de straf door dit artikel verzwaard tot zes maanden tot drie jaar en een geldboete van 100 tot 1.000 euro</w:t>
      </w:r>
      <w:r w:rsidR="00F33A00" w:rsidRPr="0069784D">
        <w:rPr>
          <w:lang w:val="nl-BE"/>
        </w:rPr>
        <w:t>.</w:t>
      </w:r>
    </w:p>
    <w:p w14:paraId="1125B316" w14:textId="77777777" w:rsidR="00CB30EC" w:rsidRPr="0069784D" w:rsidRDefault="00CB30EC" w:rsidP="009C15CF">
      <w:pPr>
        <w:jc w:val="both"/>
        <w:rPr>
          <w:lang w:val="nl-BE"/>
        </w:rPr>
      </w:pPr>
    </w:p>
    <w:p w14:paraId="6E5412AE" w14:textId="362EC7DC" w:rsidR="00366EAB" w:rsidRPr="0069784D" w:rsidRDefault="008F4D6F" w:rsidP="009C15CF">
      <w:pPr>
        <w:pStyle w:val="Heading3"/>
        <w:jc w:val="both"/>
        <w:rPr>
          <w:rFonts w:asciiTheme="minorHAnsi" w:hAnsiTheme="minorHAnsi" w:cstheme="minorHAnsi"/>
          <w:color w:val="auto"/>
          <w:sz w:val="28"/>
          <w:szCs w:val="28"/>
          <w:lang w:val="nl-BE"/>
        </w:rPr>
      </w:pPr>
      <w:bookmarkStart w:id="33" w:name="_Toc104134055"/>
      <w:r w:rsidRPr="0069784D">
        <w:rPr>
          <w:rFonts w:asciiTheme="minorHAnsi" w:hAnsiTheme="minorHAnsi" w:cstheme="minorHAnsi"/>
          <w:color w:val="auto"/>
          <w:sz w:val="28"/>
          <w:szCs w:val="28"/>
          <w:lang w:val="nl-BE"/>
        </w:rPr>
        <w:t xml:space="preserve">Artikel </w:t>
      </w:r>
      <w:r w:rsidR="00D47AA2" w:rsidRPr="0069784D">
        <w:rPr>
          <w:rFonts w:asciiTheme="minorHAnsi" w:hAnsiTheme="minorHAnsi" w:cstheme="minorHAnsi"/>
          <w:color w:val="auto"/>
          <w:sz w:val="28"/>
          <w:szCs w:val="28"/>
          <w:lang w:val="nl-BE"/>
        </w:rPr>
        <w:t>417/55</w:t>
      </w:r>
      <w:r w:rsidR="00933C62" w:rsidRPr="0069784D">
        <w:rPr>
          <w:rFonts w:asciiTheme="minorHAnsi" w:hAnsiTheme="minorHAnsi" w:cstheme="minorHAnsi"/>
          <w:color w:val="auto"/>
          <w:sz w:val="28"/>
          <w:szCs w:val="28"/>
          <w:lang w:val="nl-BE"/>
        </w:rPr>
        <w:t xml:space="preserve"> -</w:t>
      </w:r>
      <w:r w:rsidR="00D47AA2" w:rsidRPr="0069784D">
        <w:rPr>
          <w:rFonts w:asciiTheme="minorHAnsi" w:hAnsiTheme="minorHAnsi" w:cstheme="minorHAnsi"/>
          <w:color w:val="auto"/>
          <w:sz w:val="28"/>
          <w:szCs w:val="28"/>
          <w:lang w:val="nl-BE"/>
        </w:rPr>
        <w:t xml:space="preserve"> </w:t>
      </w:r>
      <w:r w:rsidRPr="0069784D">
        <w:rPr>
          <w:rFonts w:asciiTheme="minorHAnsi" w:hAnsiTheme="minorHAnsi" w:cstheme="minorHAnsi"/>
          <w:color w:val="auto"/>
          <w:sz w:val="28"/>
          <w:szCs w:val="28"/>
          <w:lang w:val="nl-BE"/>
        </w:rPr>
        <w:t>Verzwarende factoren</w:t>
      </w:r>
      <w:bookmarkEnd w:id="33"/>
      <w:r w:rsidRPr="0069784D">
        <w:rPr>
          <w:rStyle w:val="FootnoteReference"/>
          <w:rFonts w:asciiTheme="minorHAnsi" w:hAnsiTheme="minorHAnsi" w:cstheme="minorHAnsi"/>
          <w:color w:val="auto"/>
          <w:sz w:val="28"/>
          <w:szCs w:val="28"/>
          <w:lang w:val="nl-BE"/>
        </w:rPr>
        <w:footnoteReference w:customMarkFollows="1" w:id="71"/>
        <w:t>71</w:t>
      </w:r>
    </w:p>
    <w:p w14:paraId="21337E10" w14:textId="77777777" w:rsidR="00686D7C" w:rsidRPr="0069784D" w:rsidRDefault="00686D7C" w:rsidP="009C15CF">
      <w:pPr>
        <w:jc w:val="both"/>
        <w:rPr>
          <w:lang w:val="nl-BE"/>
        </w:rPr>
      </w:pPr>
    </w:p>
    <w:p w14:paraId="47530DCF" w14:textId="7F5DB073" w:rsidR="00686D7C" w:rsidRPr="0069784D" w:rsidRDefault="00686D7C" w:rsidP="009C15CF">
      <w:pPr>
        <w:jc w:val="both"/>
        <w:rPr>
          <w:color w:val="000000"/>
          <w:lang w:val="nl-BE"/>
        </w:rPr>
      </w:pPr>
      <w:r w:rsidRPr="0069784D">
        <w:rPr>
          <w:color w:val="000000"/>
          <w:lang w:val="nl-BE"/>
        </w:rPr>
        <w:t xml:space="preserve">In overeenstemming met de voorgaande afdelingen </w:t>
      </w:r>
      <w:r w:rsidR="00E849B0" w:rsidRPr="0069784D">
        <w:rPr>
          <w:color w:val="000000"/>
          <w:lang w:val="nl-BE"/>
        </w:rPr>
        <w:t xml:space="preserve">wordt </w:t>
      </w:r>
      <w:r w:rsidRPr="0069784D">
        <w:rPr>
          <w:color w:val="000000"/>
          <w:lang w:val="nl-BE"/>
        </w:rPr>
        <w:t xml:space="preserve">een lijst van verzwarende factoren gegeven </w:t>
      </w:r>
      <w:r w:rsidRPr="0069784D">
        <w:rPr>
          <w:b/>
          <w:bCs/>
          <w:color w:val="000000"/>
          <w:lang w:val="nl-BE"/>
        </w:rPr>
        <w:t>die gemeenschappelijk is voor alle misdrijven betreffende de openbare schending van de goede zeden</w:t>
      </w:r>
      <w:r w:rsidRPr="0069784D">
        <w:rPr>
          <w:color w:val="000000"/>
          <w:lang w:val="nl-BE"/>
        </w:rPr>
        <w:t xml:space="preserve"> (extreem pornografische of gewelddadige inhoud en exhibitionisme):</w:t>
      </w:r>
    </w:p>
    <w:p w14:paraId="5845A2D4" w14:textId="4CDFFC5C" w:rsidR="00686D7C" w:rsidRPr="0069784D" w:rsidRDefault="00686D7C" w:rsidP="009C15CF">
      <w:pPr>
        <w:pStyle w:val="ListParagraph"/>
        <w:numPr>
          <w:ilvl w:val="0"/>
          <w:numId w:val="25"/>
        </w:numPr>
        <w:jc w:val="both"/>
        <w:rPr>
          <w:color w:val="000000"/>
          <w:lang w:val="nl-BE"/>
        </w:rPr>
      </w:pPr>
      <w:r w:rsidRPr="0069784D">
        <w:rPr>
          <w:color w:val="000000"/>
          <w:lang w:val="nl-BE"/>
        </w:rPr>
        <w:t>een van de drijfveren van het misdrijf bestaat uit de haat tegen, het misprijzen van of de vijandigheid tegen een persoon wegens diens zogenaamd ras, huidskleur, afkomst, nationale of etnische afstamming, nationaliteit, geslacht, zwangerschap, bevalling, ouderschap, geslachtsverandering, genderidentiteit, genderexpressie, seksuele geaardheid, burgerlijke staat, geboorte, leeftijd, vermogen, geloof of levensbeschouwing, gezondheidstoestand, handicap, taal, politieke overtuiging, syndicale overtuiging, fysieke of genetische eigenschap of sociale afkomst en positie, ongeacht of dit kenmerk daadwerkelijk aanwezig is of slechts vermeend is door de dader. Hetzelfde geldt wanneer een van de drijfveren van de dader erin bestaat dat het slachtoffer een band of vermeende band heeft met een persoon ten aanzien van wie hij haat, misprijzen of vijandigheid koestert wegens een of meer van dezelfde werkelijke of vermeende kenmerken;</w:t>
      </w:r>
    </w:p>
    <w:p w14:paraId="028476B0" w14:textId="31238BE5" w:rsidR="00686D7C" w:rsidRPr="0069784D" w:rsidRDefault="00686D7C" w:rsidP="009C15CF">
      <w:pPr>
        <w:pStyle w:val="ListParagraph"/>
        <w:numPr>
          <w:ilvl w:val="0"/>
          <w:numId w:val="25"/>
        </w:numPr>
        <w:jc w:val="both"/>
        <w:rPr>
          <w:color w:val="000000"/>
          <w:lang w:val="nl-BE"/>
        </w:rPr>
      </w:pPr>
      <w:r w:rsidRPr="0069784D">
        <w:rPr>
          <w:color w:val="000000"/>
          <w:lang w:val="nl-BE"/>
        </w:rPr>
        <w:t>het misdrijf werd gepleegd door een persoon met een openbare functie in het kader van de uitoefening van deze functie;</w:t>
      </w:r>
    </w:p>
    <w:p w14:paraId="2EC9DEFB" w14:textId="58296068" w:rsidR="00686D7C" w:rsidRPr="0069784D" w:rsidRDefault="00686D7C" w:rsidP="009C15CF">
      <w:pPr>
        <w:pStyle w:val="ListParagraph"/>
        <w:numPr>
          <w:ilvl w:val="0"/>
          <w:numId w:val="25"/>
        </w:numPr>
        <w:jc w:val="both"/>
        <w:rPr>
          <w:color w:val="000000"/>
          <w:lang w:val="nl-BE"/>
        </w:rPr>
      </w:pPr>
      <w:r w:rsidRPr="0069784D">
        <w:rPr>
          <w:color w:val="000000"/>
          <w:lang w:val="nl-BE"/>
        </w:rPr>
        <w:t>het misdrijf werd gepleegd door een persoon die zich in een erkende positie van vertrouwen, gezag of invloed ten aanzien van de minderjarige bevindt;</w:t>
      </w:r>
    </w:p>
    <w:p w14:paraId="117C2100" w14:textId="0396AE55" w:rsidR="00686D7C" w:rsidRPr="0069784D" w:rsidRDefault="00686D7C" w:rsidP="009C15CF">
      <w:pPr>
        <w:pStyle w:val="ListParagraph"/>
        <w:numPr>
          <w:ilvl w:val="0"/>
          <w:numId w:val="25"/>
        </w:numPr>
        <w:jc w:val="both"/>
        <w:rPr>
          <w:color w:val="000000"/>
          <w:lang w:val="nl-BE"/>
        </w:rPr>
      </w:pPr>
      <w:r w:rsidRPr="0069784D">
        <w:rPr>
          <w:color w:val="000000"/>
          <w:lang w:val="nl-BE"/>
        </w:rPr>
        <w:t xml:space="preserve">het misdrijf werd gepleegd op een minderjarige beneden de volle leeftijd van </w:t>
      </w:r>
      <w:r w:rsidR="00E849B0" w:rsidRPr="0069784D">
        <w:rPr>
          <w:color w:val="000000"/>
          <w:lang w:val="nl-BE"/>
        </w:rPr>
        <w:t>zes</w:t>
      </w:r>
      <w:r w:rsidRPr="0069784D">
        <w:rPr>
          <w:color w:val="000000"/>
          <w:lang w:val="nl-BE"/>
        </w:rPr>
        <w:t>tien jaar;</w:t>
      </w:r>
    </w:p>
    <w:p w14:paraId="620AB100" w14:textId="45148508" w:rsidR="00686D7C" w:rsidRPr="0069784D" w:rsidRDefault="00686D7C" w:rsidP="009C15CF">
      <w:pPr>
        <w:pStyle w:val="ListParagraph"/>
        <w:numPr>
          <w:ilvl w:val="0"/>
          <w:numId w:val="25"/>
        </w:numPr>
        <w:jc w:val="both"/>
        <w:rPr>
          <w:color w:val="000000"/>
          <w:lang w:val="nl-BE"/>
        </w:rPr>
      </w:pPr>
      <w:r w:rsidRPr="0069784D">
        <w:rPr>
          <w:color w:val="000000"/>
          <w:lang w:val="nl-BE"/>
        </w:rPr>
        <w:t>het misdrijf werd gepleegd op een minderjarige beneden de volle leeftijd van zestien jaar en is voorafgegaan door een benadering van deze minderjarige vanwege de dader met het oogmerk om op een later tijdstip de in die afdeling bepaalde feiten te plegen;</w:t>
      </w:r>
    </w:p>
    <w:p w14:paraId="5C3ADA5D" w14:textId="57B8BD8A" w:rsidR="00D47AA2" w:rsidRPr="002B0732" w:rsidRDefault="00686D7C" w:rsidP="009C15CF">
      <w:pPr>
        <w:pStyle w:val="ListParagraph"/>
        <w:numPr>
          <w:ilvl w:val="0"/>
          <w:numId w:val="25"/>
        </w:numPr>
        <w:jc w:val="both"/>
        <w:rPr>
          <w:lang w:val="nl-BE"/>
        </w:rPr>
      </w:pPr>
      <w:r w:rsidRPr="0069784D">
        <w:rPr>
          <w:color w:val="000000"/>
          <w:lang w:val="nl-BE"/>
        </w:rPr>
        <w:t xml:space="preserve">het misdrijf werd gepleegd omwille van culturele drijfveren, gewoontes, tradities, religie of de </w:t>
      </w:r>
      <w:r w:rsidRPr="002B0732">
        <w:rPr>
          <w:lang w:val="nl-BE"/>
        </w:rPr>
        <w:t>zogenaamde "eer"</w:t>
      </w:r>
      <w:r w:rsidRPr="002B0732">
        <w:rPr>
          <w:rStyle w:val="FootnoteReference"/>
          <w:lang w:val="nl-BE"/>
        </w:rPr>
        <w:footnoteReference w:customMarkFollows="1" w:id="72"/>
        <w:t>72</w:t>
      </w:r>
      <w:r w:rsidRPr="002B0732">
        <w:rPr>
          <w:lang w:val="nl-BE"/>
        </w:rPr>
        <w:t>.</w:t>
      </w:r>
    </w:p>
    <w:p w14:paraId="18D1DAD8" w14:textId="489195B0" w:rsidR="00F010A1" w:rsidRPr="002B0732" w:rsidRDefault="00F010A1" w:rsidP="009C15CF">
      <w:pPr>
        <w:jc w:val="both"/>
        <w:rPr>
          <w:b/>
          <w:lang w:val="nl-BE"/>
        </w:rPr>
      </w:pPr>
      <w:r w:rsidRPr="002B0732">
        <w:rPr>
          <w:b/>
          <w:lang w:val="nl-BE"/>
        </w:rPr>
        <w:lastRenderedPageBreak/>
        <w:t>Het verdient aanbeveling dat het openbaar ministerie in zijn rechtsplegingshandelingen (vorderingen en dagvaardingen) deze verzwarende factoren duidelijk aangeeft, in de mate van het mogelijke.</w:t>
      </w:r>
    </w:p>
    <w:p w14:paraId="19CE1A98" w14:textId="77777777" w:rsidR="00D47AA2" w:rsidRPr="0069784D" w:rsidRDefault="00D47AA2" w:rsidP="009C15CF">
      <w:pPr>
        <w:jc w:val="both"/>
        <w:rPr>
          <w:color w:val="000000"/>
          <w:lang w:val="nl-BE"/>
        </w:rPr>
      </w:pPr>
    </w:p>
    <w:p w14:paraId="12DF03C7" w14:textId="4E1C50A0" w:rsidR="00366EAB" w:rsidRPr="0069784D" w:rsidRDefault="00686D7C" w:rsidP="009C15CF">
      <w:pPr>
        <w:pStyle w:val="Heading2"/>
        <w:jc w:val="both"/>
        <w:rPr>
          <w:b/>
          <w:color w:val="auto"/>
          <w:sz w:val="36"/>
          <w:szCs w:val="36"/>
          <w:lang w:val="nl-BE"/>
        </w:rPr>
      </w:pPr>
      <w:bookmarkStart w:id="34" w:name="_Toc104134056"/>
      <w:r w:rsidRPr="0069784D">
        <w:rPr>
          <w:b/>
          <w:color w:val="auto"/>
          <w:sz w:val="36"/>
          <w:szCs w:val="36"/>
          <w:lang w:val="nl-BE"/>
        </w:rPr>
        <w:t xml:space="preserve">Afdeling </w:t>
      </w:r>
      <w:r w:rsidR="00366EAB" w:rsidRPr="0069784D">
        <w:rPr>
          <w:b/>
          <w:color w:val="auto"/>
          <w:sz w:val="36"/>
          <w:szCs w:val="36"/>
          <w:lang w:val="nl-BE"/>
        </w:rPr>
        <w:t>4:</w:t>
      </w:r>
      <w:bookmarkEnd w:id="34"/>
      <w:r w:rsidRPr="0069784D">
        <w:rPr>
          <w:b/>
          <w:color w:val="auto"/>
          <w:sz w:val="36"/>
          <w:szCs w:val="36"/>
          <w:lang w:val="nl-BE"/>
        </w:rPr>
        <w:t xml:space="preserve"> Gemeenschappelijke bepalingen</w:t>
      </w:r>
    </w:p>
    <w:p w14:paraId="33C2938B" w14:textId="77777777" w:rsidR="00A82C0D" w:rsidRPr="0069784D" w:rsidRDefault="00A82C0D" w:rsidP="009C15CF">
      <w:pPr>
        <w:jc w:val="both"/>
        <w:rPr>
          <w:lang w:val="nl-BE"/>
        </w:rPr>
      </w:pPr>
    </w:p>
    <w:p w14:paraId="0A5C5B6C" w14:textId="166396F0" w:rsidR="0002514B" w:rsidRPr="0069784D" w:rsidRDefault="009B2AD9" w:rsidP="009C15CF">
      <w:pPr>
        <w:jc w:val="both"/>
        <w:rPr>
          <w:lang w:val="nl-BE"/>
        </w:rPr>
      </w:pPr>
      <w:r w:rsidRPr="0069784D">
        <w:rPr>
          <w:lang w:val="nl-BE"/>
        </w:rPr>
        <w:t xml:space="preserve">De gemeenschappelijke bepalingen worden ingevoegd in </w:t>
      </w:r>
      <w:r w:rsidR="005055D8" w:rsidRPr="00D13A01">
        <w:rPr>
          <w:lang w:val="nl-BE"/>
        </w:rPr>
        <w:t>hoofdstuk I/1</w:t>
      </w:r>
      <w:r w:rsidR="005055D8">
        <w:rPr>
          <w:lang w:val="nl-BE"/>
        </w:rPr>
        <w:t xml:space="preserve"> </w:t>
      </w:r>
      <w:r w:rsidR="0002514B" w:rsidRPr="0069784D">
        <w:rPr>
          <w:lang w:val="nl-BE"/>
        </w:rPr>
        <w:t>e</w:t>
      </w:r>
      <w:r w:rsidRPr="0069784D">
        <w:rPr>
          <w:lang w:val="nl-BE"/>
        </w:rPr>
        <w:t>n dienen dus, behoudens uitzonderingen, toegepast te worden op alle misdrijven uit dit hoofdstuk: aantasting van de seksuele integriteit,</w:t>
      </w:r>
      <w:r w:rsidR="0002514B" w:rsidRPr="0069784D">
        <w:rPr>
          <w:lang w:val="nl-BE"/>
        </w:rPr>
        <w:t xml:space="preserve"> voyeurisme, </w:t>
      </w:r>
      <w:r w:rsidRPr="0069784D">
        <w:rPr>
          <w:lang w:val="nl-BE"/>
        </w:rPr>
        <w:t xml:space="preserve">niet-consensuele verspreiding van seksuele inhoud, verkrachting, seksuele uitbuiting van minderjarigen en openbare </w:t>
      </w:r>
      <w:r w:rsidR="005055D8">
        <w:rPr>
          <w:lang w:val="nl-BE"/>
        </w:rPr>
        <w:t>zedenschennis</w:t>
      </w:r>
      <w:r w:rsidRPr="0069784D">
        <w:rPr>
          <w:lang w:val="nl-BE"/>
        </w:rPr>
        <w:t xml:space="preserve">. </w:t>
      </w:r>
    </w:p>
    <w:p w14:paraId="74914889" w14:textId="149E9F1E" w:rsidR="0002514B" w:rsidRPr="0069784D" w:rsidRDefault="009B2AD9" w:rsidP="009C15CF">
      <w:pPr>
        <w:jc w:val="both"/>
        <w:rPr>
          <w:lang w:val="nl-BE"/>
        </w:rPr>
      </w:pPr>
      <w:r w:rsidRPr="0069784D">
        <w:rPr>
          <w:lang w:val="nl-BE"/>
        </w:rPr>
        <w:t>De meest in het oog springende wijziging heeft betrekking op de opsplitsing van het misdrijf ‘pooierschap van minderjarigen’ en ‘pooierschap van meerderjarigen’. Beide misdrijven bevinden zich voortaan in afzonderlijke hoofdstukken</w:t>
      </w:r>
      <w:r w:rsidR="004C6984" w:rsidRPr="0069784D">
        <w:rPr>
          <w:lang w:val="nl-BE"/>
        </w:rPr>
        <w:t xml:space="preserve">, met specifieke artikels betreffende de verboden en sluitingen. Dit heeft ook een impact op de misdrijven betreffende mensenhandel met </w:t>
      </w:r>
      <w:r w:rsidR="005055D8" w:rsidRPr="00637A62">
        <w:rPr>
          <w:lang w:val="nl-BE"/>
        </w:rPr>
        <w:t>h</w:t>
      </w:r>
      <w:r w:rsidR="005055D8">
        <w:rPr>
          <w:lang w:val="nl-BE"/>
        </w:rPr>
        <w:t>et oog op seksuele uitbuiting</w:t>
      </w:r>
      <w:r w:rsidR="004C6984" w:rsidRPr="0069784D">
        <w:rPr>
          <w:lang w:val="nl-BE"/>
        </w:rPr>
        <w:t xml:space="preserve">, omdat de mogelijkheden inzake </w:t>
      </w:r>
      <w:r w:rsidR="008C465C" w:rsidRPr="0069784D">
        <w:rPr>
          <w:lang w:val="nl-BE"/>
        </w:rPr>
        <w:t xml:space="preserve">het opleggen van een </w:t>
      </w:r>
      <w:r w:rsidR="004C6984" w:rsidRPr="0069784D">
        <w:rPr>
          <w:lang w:val="nl-BE"/>
        </w:rPr>
        <w:t xml:space="preserve">verbod </w:t>
      </w:r>
      <w:r w:rsidR="008C465C" w:rsidRPr="0069784D">
        <w:rPr>
          <w:lang w:val="nl-BE"/>
        </w:rPr>
        <w:t>of</w:t>
      </w:r>
      <w:r w:rsidR="004C6984" w:rsidRPr="0069784D">
        <w:rPr>
          <w:lang w:val="nl-BE"/>
        </w:rPr>
        <w:t xml:space="preserve"> sluiting gebaseerd zijn op deze betreffende het misdrijf ‘pooierschap’. In artikel 98 worden deze artikels omgezet, maar </w:t>
      </w:r>
      <w:r w:rsidR="005055D8">
        <w:rPr>
          <w:lang w:val="nl-BE"/>
        </w:rPr>
        <w:t>er dient te worden vastgesteld</w:t>
      </w:r>
      <w:r w:rsidR="005055D8" w:rsidRPr="0069784D">
        <w:rPr>
          <w:lang w:val="nl-BE"/>
        </w:rPr>
        <w:t xml:space="preserve"> </w:t>
      </w:r>
      <w:r w:rsidR="004C6984" w:rsidRPr="0069784D">
        <w:rPr>
          <w:lang w:val="nl-BE"/>
        </w:rPr>
        <w:t xml:space="preserve">dat er geen sprake </w:t>
      </w:r>
      <w:r w:rsidR="005055D8">
        <w:rPr>
          <w:lang w:val="nl-BE"/>
        </w:rPr>
        <w:t xml:space="preserve">is </w:t>
      </w:r>
      <w:r w:rsidR="004C6984" w:rsidRPr="0069784D">
        <w:rPr>
          <w:lang w:val="nl-BE"/>
        </w:rPr>
        <w:t xml:space="preserve">van een perfect parallelisme </w:t>
      </w:r>
      <w:r w:rsidR="0002514B" w:rsidRPr="0069784D">
        <w:rPr>
          <w:lang w:val="nl-BE"/>
        </w:rPr>
        <w:t>(</w:t>
      </w:r>
      <w:r w:rsidRPr="0069784D">
        <w:rPr>
          <w:lang w:val="nl-BE"/>
        </w:rPr>
        <w:t>zie tabel als bijlage</w:t>
      </w:r>
      <w:r w:rsidR="0002514B" w:rsidRPr="0069784D">
        <w:rPr>
          <w:lang w:val="nl-BE"/>
        </w:rPr>
        <w:t>).</w:t>
      </w:r>
    </w:p>
    <w:p w14:paraId="5284FAB5" w14:textId="77777777" w:rsidR="0002514B" w:rsidRPr="0069784D" w:rsidRDefault="0002514B" w:rsidP="009C15CF">
      <w:pPr>
        <w:jc w:val="both"/>
        <w:rPr>
          <w:color w:val="000000"/>
          <w:lang w:val="nl-BE"/>
        </w:rPr>
      </w:pPr>
    </w:p>
    <w:p w14:paraId="10A09282" w14:textId="043B9730" w:rsidR="000B0421" w:rsidRPr="0069784D" w:rsidRDefault="004C6984" w:rsidP="009C15CF">
      <w:pPr>
        <w:pStyle w:val="Heading3"/>
        <w:jc w:val="both"/>
        <w:rPr>
          <w:rFonts w:asciiTheme="minorHAnsi" w:hAnsiTheme="minorHAnsi" w:cstheme="minorHAnsi"/>
          <w:color w:val="auto"/>
          <w:sz w:val="28"/>
          <w:szCs w:val="28"/>
          <w:lang w:val="nl-BE"/>
        </w:rPr>
      </w:pPr>
      <w:bookmarkStart w:id="35" w:name="_Toc104134057"/>
      <w:r w:rsidRPr="0069784D">
        <w:rPr>
          <w:rFonts w:asciiTheme="minorHAnsi" w:hAnsiTheme="minorHAnsi" w:cstheme="minorHAnsi"/>
          <w:color w:val="auto"/>
          <w:sz w:val="28"/>
          <w:szCs w:val="28"/>
          <w:lang w:val="nl-BE"/>
        </w:rPr>
        <w:t xml:space="preserve">Artikel </w:t>
      </w:r>
      <w:r w:rsidR="00366EAB" w:rsidRPr="0069784D">
        <w:rPr>
          <w:rFonts w:asciiTheme="minorHAnsi" w:hAnsiTheme="minorHAnsi" w:cstheme="minorHAnsi"/>
          <w:color w:val="auto"/>
          <w:sz w:val="28"/>
          <w:szCs w:val="28"/>
          <w:lang w:val="nl-BE"/>
        </w:rPr>
        <w:t>417/56</w:t>
      </w:r>
      <w:r w:rsidR="00933C62" w:rsidRPr="0069784D">
        <w:rPr>
          <w:rFonts w:asciiTheme="minorHAnsi" w:hAnsiTheme="minorHAnsi" w:cstheme="minorHAnsi"/>
          <w:color w:val="auto"/>
          <w:sz w:val="28"/>
          <w:szCs w:val="28"/>
          <w:lang w:val="nl-BE"/>
        </w:rPr>
        <w:t xml:space="preserve"> -</w:t>
      </w:r>
      <w:r w:rsidR="008F2F9E" w:rsidRPr="0069784D">
        <w:rPr>
          <w:rFonts w:asciiTheme="minorHAnsi" w:hAnsiTheme="minorHAnsi" w:cstheme="minorHAnsi"/>
          <w:color w:val="auto"/>
          <w:sz w:val="28"/>
          <w:szCs w:val="28"/>
          <w:lang w:val="nl-BE"/>
        </w:rPr>
        <w:t xml:space="preserve"> </w:t>
      </w:r>
      <w:bookmarkEnd w:id="35"/>
      <w:r w:rsidRPr="0069784D">
        <w:rPr>
          <w:rFonts w:asciiTheme="minorHAnsi" w:hAnsiTheme="minorHAnsi" w:cstheme="minorHAnsi"/>
          <w:color w:val="auto"/>
          <w:sz w:val="28"/>
          <w:szCs w:val="28"/>
          <w:lang w:val="nl-BE"/>
        </w:rPr>
        <w:t>Weigering tot het verlenen van medewerking</w:t>
      </w:r>
    </w:p>
    <w:p w14:paraId="243765C5" w14:textId="77777777" w:rsidR="004C6984" w:rsidRPr="0069784D" w:rsidRDefault="004C6984" w:rsidP="009C15CF">
      <w:pPr>
        <w:rPr>
          <w:lang w:val="nl-BE"/>
        </w:rPr>
      </w:pPr>
    </w:p>
    <w:p w14:paraId="7B2134F4" w14:textId="47FED936" w:rsidR="008F2F9E" w:rsidRPr="0069784D" w:rsidRDefault="00EA74BF" w:rsidP="009C15CF">
      <w:pPr>
        <w:jc w:val="both"/>
        <w:rPr>
          <w:lang w:val="nl-BE"/>
        </w:rPr>
      </w:pPr>
      <w:r w:rsidRPr="0069784D">
        <w:rPr>
          <w:lang w:val="nl-BE"/>
        </w:rPr>
        <w:t xml:space="preserve">Dit is het vroegere </w:t>
      </w:r>
      <w:r w:rsidRPr="0069784D">
        <w:rPr>
          <w:b/>
          <w:bCs/>
          <w:lang w:val="nl-BE"/>
        </w:rPr>
        <w:t>artikel</w:t>
      </w:r>
      <w:r w:rsidRPr="0069784D">
        <w:rPr>
          <w:lang w:val="nl-BE"/>
        </w:rPr>
        <w:t xml:space="preserve"> </w:t>
      </w:r>
      <w:r w:rsidR="008F2F9E" w:rsidRPr="0069784D">
        <w:rPr>
          <w:b/>
          <w:lang w:val="nl-BE"/>
        </w:rPr>
        <w:t xml:space="preserve">371/3 </w:t>
      </w:r>
      <w:r w:rsidRPr="0069784D">
        <w:rPr>
          <w:b/>
          <w:lang w:val="nl-BE"/>
        </w:rPr>
        <w:t>van het Strafwetboek</w:t>
      </w:r>
      <w:r w:rsidRPr="0069784D">
        <w:rPr>
          <w:bCs/>
          <w:lang w:val="nl-BE"/>
        </w:rPr>
        <w:t>, waarvan</w:t>
      </w:r>
      <w:r w:rsidR="008F2F9E" w:rsidRPr="0069784D">
        <w:rPr>
          <w:b/>
          <w:lang w:val="nl-BE"/>
        </w:rPr>
        <w:t xml:space="preserve"> </w:t>
      </w:r>
      <w:r w:rsidRPr="0069784D">
        <w:rPr>
          <w:bCs/>
          <w:lang w:val="nl-BE"/>
        </w:rPr>
        <w:t xml:space="preserve">het toepassingsgebied </w:t>
      </w:r>
      <w:r w:rsidR="008C465C" w:rsidRPr="0069784D">
        <w:rPr>
          <w:bCs/>
          <w:lang w:val="nl-BE"/>
        </w:rPr>
        <w:t xml:space="preserve">gepreciseerd </w:t>
      </w:r>
      <w:r w:rsidR="00237792">
        <w:rPr>
          <w:bCs/>
          <w:lang w:val="nl-BE"/>
        </w:rPr>
        <w:t>wordt.</w:t>
      </w:r>
      <w:r w:rsidRPr="0069784D">
        <w:rPr>
          <w:bCs/>
          <w:lang w:val="nl-BE"/>
        </w:rPr>
        <w:t xml:space="preserve"> </w:t>
      </w:r>
      <w:r w:rsidR="00237792" w:rsidRPr="00637A62">
        <w:rPr>
          <w:lang w:val="nl-BE"/>
        </w:rPr>
        <w:t>Het betreft n</w:t>
      </w:r>
      <w:r w:rsidR="00237792">
        <w:rPr>
          <w:lang w:val="nl-BE"/>
        </w:rPr>
        <w:t>amelijk</w:t>
      </w:r>
      <w:r w:rsidR="00237792">
        <w:rPr>
          <w:bCs/>
          <w:lang w:val="nl-BE"/>
        </w:rPr>
        <w:t xml:space="preserve"> </w:t>
      </w:r>
      <w:r w:rsidRPr="0069784D">
        <w:rPr>
          <w:color w:val="000000"/>
          <w:lang w:val="nl-BE"/>
        </w:rPr>
        <w:t>de</w:t>
      </w:r>
      <w:r w:rsidR="008A19CC" w:rsidRPr="0069784D">
        <w:rPr>
          <w:color w:val="000000"/>
          <w:lang w:val="nl-BE"/>
        </w:rPr>
        <w:t xml:space="preserve"> w</w:t>
      </w:r>
      <w:r w:rsidRPr="0069784D">
        <w:rPr>
          <w:color w:val="000000"/>
          <w:lang w:val="nl-BE"/>
        </w:rPr>
        <w:t xml:space="preserve">eigering tot verlening van technische medewerking aan de verwijdering van niet-consensueel verspreide seksueel getinte beelden, van beelden van seksueel misbruik van minderjarigen en van extreem pornografische en gewelddadige beelden </w:t>
      </w:r>
      <w:r w:rsidR="00237792" w:rsidRPr="00052FD1">
        <w:rPr>
          <w:lang w:val="nl-BE"/>
        </w:rPr>
        <w:t>ingevolge</w:t>
      </w:r>
      <w:r w:rsidRPr="0069784D">
        <w:rPr>
          <w:color w:val="000000"/>
          <w:lang w:val="nl-BE"/>
        </w:rPr>
        <w:t xml:space="preserve"> de mondelinge of schriftelijke bevelen die de procureur des Konings uitvaardigt overeenkomstig artikel 39bis, § 6, zesde lid, van het Wetboek van Strafvordering of </w:t>
      </w:r>
      <w:r w:rsidR="00237792" w:rsidRPr="00052FD1">
        <w:rPr>
          <w:lang w:val="nl-BE"/>
        </w:rPr>
        <w:t>ingevolge een b</w:t>
      </w:r>
      <w:r w:rsidR="00237792">
        <w:rPr>
          <w:lang w:val="nl-BE"/>
        </w:rPr>
        <w:t>eslissing van de rechtbank van eerste aanleg overeenkomstig artikel</w:t>
      </w:r>
      <w:r w:rsidRPr="0069784D">
        <w:rPr>
          <w:color w:val="000000"/>
          <w:lang w:val="nl-BE"/>
        </w:rPr>
        <w:t xml:space="preserve"> 584, vijfde lid, 7°, van het Gerechtelijk Wetboek.</w:t>
      </w:r>
    </w:p>
    <w:p w14:paraId="43F96987" w14:textId="788DD0D7" w:rsidR="0030675B" w:rsidRPr="0069784D" w:rsidRDefault="00EA74BF" w:rsidP="009C15CF">
      <w:pPr>
        <w:jc w:val="both"/>
        <w:rPr>
          <w:lang w:val="nl-BE"/>
        </w:rPr>
      </w:pPr>
      <w:r w:rsidRPr="0069784D">
        <w:rPr>
          <w:lang w:val="nl-BE"/>
        </w:rPr>
        <w:t xml:space="preserve">De straf wordt niet </w:t>
      </w:r>
      <w:r w:rsidR="00237792" w:rsidRPr="00173321">
        <w:rPr>
          <w:lang w:val="nl-BE"/>
        </w:rPr>
        <w:t>gewijzigd</w:t>
      </w:r>
      <w:r w:rsidRPr="0069784D">
        <w:rPr>
          <w:lang w:val="nl-BE"/>
        </w:rPr>
        <w:t xml:space="preserve"> (geldboete van</w:t>
      </w:r>
      <w:r w:rsidR="0030675B" w:rsidRPr="0069784D">
        <w:rPr>
          <w:lang w:val="nl-BE"/>
        </w:rPr>
        <w:t xml:space="preserve"> 200 </w:t>
      </w:r>
      <w:r w:rsidRPr="0069784D">
        <w:rPr>
          <w:lang w:val="nl-BE"/>
        </w:rPr>
        <w:t>tot</w:t>
      </w:r>
      <w:r w:rsidR="0030675B" w:rsidRPr="0069784D">
        <w:rPr>
          <w:lang w:val="nl-BE"/>
        </w:rPr>
        <w:t xml:space="preserve"> 15.000 </w:t>
      </w:r>
      <w:r w:rsidRPr="0069784D">
        <w:rPr>
          <w:lang w:val="nl-BE"/>
        </w:rPr>
        <w:t>euro</w:t>
      </w:r>
      <w:r w:rsidR="0030675B" w:rsidRPr="0069784D">
        <w:rPr>
          <w:lang w:val="nl-BE"/>
        </w:rPr>
        <w:t>)</w:t>
      </w:r>
      <w:r w:rsidRPr="0069784D">
        <w:rPr>
          <w:lang w:val="nl-BE"/>
        </w:rPr>
        <w:t>.</w:t>
      </w:r>
    </w:p>
    <w:p w14:paraId="1A30A0E3" w14:textId="77777777" w:rsidR="00D34618" w:rsidRPr="0069784D" w:rsidRDefault="00D34618" w:rsidP="009C15CF">
      <w:pPr>
        <w:jc w:val="both"/>
        <w:rPr>
          <w:lang w:val="nl-BE"/>
        </w:rPr>
      </w:pPr>
    </w:p>
    <w:p w14:paraId="6F8E26C9" w14:textId="158DB203" w:rsidR="004C6984" w:rsidRPr="0069784D" w:rsidRDefault="0002514B" w:rsidP="009C15CF">
      <w:pPr>
        <w:pStyle w:val="Heading3"/>
        <w:jc w:val="both"/>
        <w:rPr>
          <w:rFonts w:asciiTheme="minorHAnsi" w:hAnsiTheme="minorHAnsi" w:cstheme="minorHAnsi"/>
          <w:color w:val="auto"/>
          <w:sz w:val="28"/>
          <w:szCs w:val="28"/>
          <w:lang w:val="nl-BE"/>
        </w:rPr>
      </w:pPr>
      <w:bookmarkStart w:id="36" w:name="_Toc104134058"/>
      <w:r w:rsidRPr="0069784D">
        <w:rPr>
          <w:rFonts w:asciiTheme="minorHAnsi" w:hAnsiTheme="minorHAnsi" w:cstheme="minorHAnsi"/>
          <w:color w:val="auto"/>
          <w:sz w:val="28"/>
          <w:szCs w:val="28"/>
          <w:lang w:val="nl-BE"/>
        </w:rPr>
        <w:t>Art</w:t>
      </w:r>
      <w:r w:rsidR="004C6984" w:rsidRPr="0069784D">
        <w:rPr>
          <w:rFonts w:asciiTheme="minorHAnsi" w:hAnsiTheme="minorHAnsi" w:cstheme="minorHAnsi"/>
          <w:color w:val="auto"/>
          <w:sz w:val="28"/>
          <w:szCs w:val="28"/>
          <w:lang w:val="nl-BE"/>
        </w:rPr>
        <w:t>ikel</w:t>
      </w:r>
      <w:r w:rsidRPr="0069784D">
        <w:rPr>
          <w:rFonts w:asciiTheme="minorHAnsi" w:hAnsiTheme="minorHAnsi" w:cstheme="minorHAnsi"/>
          <w:color w:val="auto"/>
          <w:sz w:val="28"/>
          <w:szCs w:val="28"/>
          <w:lang w:val="nl-BE"/>
        </w:rPr>
        <w:t xml:space="preserve"> 417/57</w:t>
      </w:r>
      <w:r w:rsidR="00933C62" w:rsidRPr="0069784D">
        <w:rPr>
          <w:rFonts w:asciiTheme="minorHAnsi" w:hAnsiTheme="minorHAnsi" w:cstheme="minorHAnsi"/>
          <w:color w:val="auto"/>
          <w:sz w:val="28"/>
          <w:szCs w:val="28"/>
          <w:lang w:val="nl-BE"/>
        </w:rPr>
        <w:t xml:space="preserve"> -</w:t>
      </w:r>
      <w:r w:rsidR="004C6984" w:rsidRPr="0069784D">
        <w:rPr>
          <w:rFonts w:asciiTheme="minorHAnsi" w:hAnsiTheme="minorHAnsi" w:cstheme="minorHAnsi"/>
          <w:color w:val="auto"/>
          <w:sz w:val="28"/>
          <w:szCs w:val="28"/>
          <w:lang w:val="nl-BE"/>
        </w:rPr>
        <w:t xml:space="preserve"> Sluiting van een inrichting</w:t>
      </w:r>
      <w:bookmarkEnd w:id="36"/>
    </w:p>
    <w:p w14:paraId="49BDCC9A" w14:textId="77777777" w:rsidR="004C6984" w:rsidRPr="0069784D" w:rsidRDefault="004C6984" w:rsidP="009C15CF">
      <w:pPr>
        <w:rPr>
          <w:lang w:val="nl-BE"/>
        </w:rPr>
      </w:pPr>
    </w:p>
    <w:p w14:paraId="7F056604" w14:textId="453BDA2D" w:rsidR="0002514B" w:rsidRDefault="00EA74BF" w:rsidP="009C15CF">
      <w:pPr>
        <w:jc w:val="both"/>
        <w:rPr>
          <w:rFonts w:eastAsia="Times New Roman" w:cstheme="minorHAnsi"/>
          <w:bCs/>
          <w:lang w:val="nl-BE" w:eastAsia="en-GB"/>
        </w:rPr>
      </w:pPr>
      <w:r w:rsidRPr="0069784D">
        <w:rPr>
          <w:rFonts w:eastAsia="Times New Roman" w:cstheme="minorHAnsi"/>
          <w:bCs/>
          <w:lang w:val="nl-BE" w:eastAsia="en-GB"/>
        </w:rPr>
        <w:t>Dit artikel vervangt de artikelen</w:t>
      </w:r>
      <w:r w:rsidR="00384723" w:rsidRPr="0069784D">
        <w:rPr>
          <w:rFonts w:eastAsia="Times New Roman" w:cstheme="minorHAnsi"/>
          <w:bCs/>
          <w:lang w:val="nl-BE" w:eastAsia="en-GB"/>
        </w:rPr>
        <w:t xml:space="preserve"> 382 §3 e</w:t>
      </w:r>
      <w:r w:rsidRPr="0069784D">
        <w:rPr>
          <w:rFonts w:eastAsia="Times New Roman" w:cstheme="minorHAnsi"/>
          <w:bCs/>
          <w:lang w:val="nl-BE" w:eastAsia="en-GB"/>
        </w:rPr>
        <w:t>n</w:t>
      </w:r>
      <w:r w:rsidR="00384723" w:rsidRPr="0069784D">
        <w:rPr>
          <w:rFonts w:eastAsia="Times New Roman" w:cstheme="minorHAnsi"/>
          <w:bCs/>
          <w:lang w:val="nl-BE" w:eastAsia="en-GB"/>
        </w:rPr>
        <w:t xml:space="preserve"> </w:t>
      </w:r>
      <w:r w:rsidR="0002514B" w:rsidRPr="0069784D">
        <w:rPr>
          <w:rFonts w:eastAsia="Times New Roman" w:cstheme="minorHAnsi"/>
          <w:bCs/>
          <w:lang w:val="nl-BE" w:eastAsia="en-GB"/>
        </w:rPr>
        <w:t xml:space="preserve">388 </w:t>
      </w:r>
      <w:r w:rsidRPr="0069784D">
        <w:rPr>
          <w:rFonts w:eastAsia="Times New Roman" w:cstheme="minorHAnsi"/>
          <w:bCs/>
          <w:lang w:val="nl-BE" w:eastAsia="en-GB"/>
        </w:rPr>
        <w:t>van het Strafwetboek. De duur van de sluiting die door</w:t>
      </w:r>
      <w:r w:rsidR="00237792">
        <w:rPr>
          <w:rFonts w:eastAsia="Times New Roman" w:cstheme="minorHAnsi"/>
          <w:bCs/>
          <w:lang w:val="nl-BE" w:eastAsia="en-GB"/>
        </w:rPr>
        <w:t xml:space="preserve"> de rechter opgelegd kan worden</w:t>
      </w:r>
      <w:r w:rsidRPr="0069784D">
        <w:rPr>
          <w:rFonts w:eastAsia="Times New Roman" w:cstheme="minorHAnsi"/>
          <w:bCs/>
          <w:lang w:val="nl-BE" w:eastAsia="en-GB"/>
        </w:rPr>
        <w:t xml:space="preserve"> blijft ongewijzigd. </w:t>
      </w:r>
    </w:p>
    <w:p w14:paraId="242DBD3A" w14:textId="7C057B75" w:rsidR="003C2CA9" w:rsidRDefault="003C2CA9" w:rsidP="009C15CF">
      <w:pPr>
        <w:jc w:val="both"/>
        <w:rPr>
          <w:rFonts w:eastAsia="Times New Roman" w:cstheme="minorHAnsi"/>
          <w:bCs/>
          <w:lang w:val="nl-BE" w:eastAsia="en-GB"/>
        </w:rPr>
      </w:pPr>
    </w:p>
    <w:p w14:paraId="795E250C" w14:textId="77777777" w:rsidR="003C2CA9" w:rsidRPr="0069784D" w:rsidRDefault="003C2CA9" w:rsidP="009C15CF">
      <w:pPr>
        <w:jc w:val="both"/>
        <w:rPr>
          <w:rFonts w:eastAsia="Times New Roman" w:cstheme="minorHAnsi"/>
          <w:bCs/>
          <w:lang w:val="nl-BE" w:eastAsia="en-GB"/>
        </w:rPr>
      </w:pPr>
    </w:p>
    <w:tbl>
      <w:tblPr>
        <w:tblStyle w:val="TableGrid"/>
        <w:tblW w:w="0" w:type="auto"/>
        <w:tblLook w:val="04A0" w:firstRow="1" w:lastRow="0" w:firstColumn="1" w:lastColumn="0" w:noHBand="0" w:noVBand="1"/>
      </w:tblPr>
      <w:tblGrid>
        <w:gridCol w:w="4508"/>
        <w:gridCol w:w="4508"/>
      </w:tblGrid>
      <w:tr w:rsidR="0002514B" w:rsidRPr="0069784D" w14:paraId="50C1C180" w14:textId="77777777" w:rsidTr="0002514B">
        <w:tc>
          <w:tcPr>
            <w:tcW w:w="4508" w:type="dxa"/>
            <w:tcBorders>
              <w:top w:val="single" w:sz="4" w:space="0" w:color="auto"/>
              <w:left w:val="single" w:sz="4" w:space="0" w:color="auto"/>
              <w:bottom w:val="single" w:sz="4" w:space="0" w:color="auto"/>
              <w:right w:val="single" w:sz="4" w:space="0" w:color="auto"/>
            </w:tcBorders>
            <w:hideMark/>
          </w:tcPr>
          <w:p w14:paraId="43621AC1" w14:textId="597E376E" w:rsidR="0002514B" w:rsidRPr="0069784D" w:rsidRDefault="00A6168D" w:rsidP="009C15CF">
            <w:pPr>
              <w:jc w:val="both"/>
              <w:rPr>
                <w:rFonts w:eastAsia="Times New Roman" w:cstheme="minorHAnsi"/>
                <w:bCs/>
                <w:lang w:val="nl-BE" w:eastAsia="en-GB"/>
              </w:rPr>
            </w:pPr>
            <w:r w:rsidRPr="0069784D">
              <w:rPr>
                <w:rFonts w:eastAsia="Times New Roman" w:cstheme="minorHAnsi"/>
                <w:bCs/>
                <w:lang w:val="nl-BE" w:eastAsia="en-GB"/>
              </w:rPr>
              <w:lastRenderedPageBreak/>
              <w:t xml:space="preserve">Vroegere </w:t>
            </w:r>
            <w:r w:rsidR="00062910" w:rsidRPr="0069784D">
              <w:rPr>
                <w:rFonts w:eastAsia="Times New Roman" w:cstheme="minorHAnsi"/>
                <w:bCs/>
                <w:lang w:val="nl-BE" w:eastAsia="en-GB"/>
              </w:rPr>
              <w:t>bepalingen: artikelen</w:t>
            </w:r>
            <w:r w:rsidR="0002514B" w:rsidRPr="0069784D">
              <w:rPr>
                <w:rFonts w:eastAsia="Times New Roman" w:cstheme="minorHAnsi"/>
                <w:bCs/>
                <w:lang w:val="nl-BE" w:eastAsia="en-GB"/>
              </w:rPr>
              <w:t xml:space="preserve"> 382 §3 e</w:t>
            </w:r>
            <w:r w:rsidR="009F4C07" w:rsidRPr="0069784D">
              <w:rPr>
                <w:rFonts w:eastAsia="Times New Roman" w:cstheme="minorHAnsi"/>
                <w:bCs/>
                <w:lang w:val="nl-BE" w:eastAsia="en-GB"/>
              </w:rPr>
              <w:t>n</w:t>
            </w:r>
            <w:r w:rsidR="0002514B" w:rsidRPr="0069784D">
              <w:rPr>
                <w:rFonts w:eastAsia="Times New Roman" w:cstheme="minorHAnsi"/>
                <w:bCs/>
                <w:lang w:val="nl-BE" w:eastAsia="en-GB"/>
              </w:rPr>
              <w:t xml:space="preserve"> 389</w:t>
            </w:r>
            <w:r w:rsidR="00062910" w:rsidRPr="0069784D">
              <w:rPr>
                <w:rFonts w:eastAsia="Times New Roman" w:cstheme="minorHAnsi"/>
                <w:bCs/>
                <w:lang w:val="nl-BE" w:eastAsia="en-GB"/>
              </w:rPr>
              <w:t xml:space="preserve"> </w:t>
            </w:r>
          </w:p>
          <w:p w14:paraId="0D27B419" w14:textId="022E4036" w:rsidR="00062910" w:rsidRPr="0069784D" w:rsidRDefault="00062910" w:rsidP="009C15CF">
            <w:pPr>
              <w:jc w:val="both"/>
              <w:rPr>
                <w:rFonts w:eastAsia="Times New Roman" w:cstheme="minorHAnsi"/>
                <w:bCs/>
                <w:lang w:val="nl-BE" w:eastAsia="en-GB"/>
              </w:rPr>
            </w:pPr>
          </w:p>
        </w:tc>
        <w:tc>
          <w:tcPr>
            <w:tcW w:w="4508" w:type="dxa"/>
            <w:tcBorders>
              <w:top w:val="single" w:sz="4" w:space="0" w:color="auto"/>
              <w:left w:val="single" w:sz="4" w:space="0" w:color="auto"/>
              <w:bottom w:val="single" w:sz="4" w:space="0" w:color="auto"/>
              <w:right w:val="single" w:sz="4" w:space="0" w:color="auto"/>
            </w:tcBorders>
            <w:hideMark/>
          </w:tcPr>
          <w:p w14:paraId="4734D44F" w14:textId="0489517A" w:rsidR="0002514B" w:rsidRPr="0069784D" w:rsidRDefault="009F4C07" w:rsidP="009C15CF">
            <w:pPr>
              <w:jc w:val="both"/>
              <w:rPr>
                <w:rFonts w:eastAsia="Times New Roman" w:cstheme="minorHAnsi"/>
                <w:bCs/>
                <w:lang w:val="fr-BE" w:eastAsia="en-GB"/>
              </w:rPr>
            </w:pPr>
            <w:r w:rsidRPr="0069784D">
              <w:rPr>
                <w:rFonts w:eastAsia="Times New Roman" w:cstheme="minorHAnsi"/>
                <w:bCs/>
                <w:lang w:val="fr-BE" w:eastAsia="en-GB"/>
              </w:rPr>
              <w:t>Nieuw</w:t>
            </w:r>
            <w:r w:rsidR="00062910" w:rsidRPr="0069784D">
              <w:rPr>
                <w:rFonts w:eastAsia="Times New Roman" w:cstheme="minorHAnsi"/>
                <w:bCs/>
                <w:lang w:val="fr-BE" w:eastAsia="en-GB"/>
              </w:rPr>
              <w:t xml:space="preserve">e bepaling: </w:t>
            </w:r>
            <w:r w:rsidRPr="0069784D">
              <w:rPr>
                <w:rFonts w:eastAsia="Times New Roman" w:cstheme="minorHAnsi"/>
                <w:bCs/>
                <w:lang w:val="fr-BE" w:eastAsia="en-GB"/>
              </w:rPr>
              <w:t xml:space="preserve"> </w:t>
            </w:r>
            <w:r w:rsidR="00062910" w:rsidRPr="0069784D">
              <w:rPr>
                <w:rFonts w:eastAsia="Times New Roman" w:cstheme="minorHAnsi"/>
                <w:bCs/>
                <w:lang w:val="fr-BE" w:eastAsia="en-GB"/>
              </w:rPr>
              <w:t>artikel</w:t>
            </w:r>
            <w:r w:rsidR="0002514B" w:rsidRPr="0069784D">
              <w:rPr>
                <w:rFonts w:eastAsia="Times New Roman" w:cstheme="minorHAnsi"/>
                <w:bCs/>
                <w:lang w:val="fr-BE" w:eastAsia="en-GB"/>
              </w:rPr>
              <w:t xml:space="preserve"> 417/57</w:t>
            </w:r>
          </w:p>
        </w:tc>
      </w:tr>
      <w:tr w:rsidR="0002514B" w:rsidRPr="001C6BF9" w14:paraId="6D530454" w14:textId="77777777" w:rsidTr="0002514B">
        <w:tc>
          <w:tcPr>
            <w:tcW w:w="4508" w:type="dxa"/>
            <w:tcBorders>
              <w:top w:val="single" w:sz="4" w:space="0" w:color="auto"/>
              <w:left w:val="single" w:sz="4" w:space="0" w:color="auto"/>
              <w:bottom w:val="single" w:sz="4" w:space="0" w:color="auto"/>
              <w:right w:val="single" w:sz="4" w:space="0" w:color="auto"/>
            </w:tcBorders>
          </w:tcPr>
          <w:p w14:paraId="6C735BFB" w14:textId="202D1168" w:rsidR="00946930" w:rsidRPr="0069784D" w:rsidRDefault="00946930" w:rsidP="009C15CF">
            <w:pPr>
              <w:jc w:val="both"/>
              <w:rPr>
                <w:rFonts w:cstheme="minorHAnsi"/>
                <w:i/>
                <w:iCs/>
                <w:color w:val="000000"/>
                <w:lang w:val="nl-BE"/>
              </w:rPr>
            </w:pPr>
            <w:r w:rsidRPr="0069784D">
              <w:rPr>
                <w:rFonts w:cstheme="minorHAnsi"/>
                <w:i/>
                <w:iCs/>
                <w:color w:val="000000"/>
                <w:lang w:val="nl-BE"/>
              </w:rPr>
              <w:t>§3. Zonder rekening te houden met de hoedanigheid van natuurlijke persoon of rechtspersoon van de uitbater, eigenaar, huurder of zaakvoerder, kan de rechtbank de sluiting bevelen van de inrichting waar de misdrijven zijn gepleegd, voor een termijn van een maand tot drie jaar.</w:t>
            </w:r>
          </w:p>
          <w:p w14:paraId="356BA544" w14:textId="5574363F" w:rsidR="00946930" w:rsidRPr="0069784D" w:rsidRDefault="00946930" w:rsidP="009C15CF">
            <w:pPr>
              <w:jc w:val="both"/>
              <w:rPr>
                <w:rFonts w:cstheme="minorHAnsi"/>
                <w:i/>
                <w:iCs/>
                <w:color w:val="000000"/>
                <w:lang w:val="nl-BE"/>
              </w:rPr>
            </w:pPr>
          </w:p>
          <w:p w14:paraId="66520413" w14:textId="77777777" w:rsidR="00946930" w:rsidRPr="0069784D" w:rsidRDefault="00946930" w:rsidP="009C15CF">
            <w:pPr>
              <w:jc w:val="both"/>
              <w:rPr>
                <w:rFonts w:cstheme="minorHAnsi"/>
                <w:i/>
                <w:iCs/>
                <w:color w:val="000000"/>
                <w:lang w:val="nl-BE"/>
              </w:rPr>
            </w:pPr>
          </w:p>
          <w:p w14:paraId="0C52F8DD" w14:textId="77777777" w:rsidR="00946930" w:rsidRPr="0069784D" w:rsidRDefault="00946930" w:rsidP="009C15CF">
            <w:pPr>
              <w:jc w:val="both"/>
              <w:rPr>
                <w:rFonts w:cstheme="minorHAnsi"/>
                <w:i/>
                <w:iCs/>
                <w:color w:val="000000"/>
                <w:lang w:val="nl-BE"/>
              </w:rPr>
            </w:pPr>
            <w:r w:rsidRPr="0069784D">
              <w:rPr>
                <w:rFonts w:cstheme="minorHAnsi"/>
                <w:i/>
                <w:iCs/>
                <w:color w:val="000000"/>
                <w:lang w:val="nl-BE"/>
              </w:rPr>
              <w:t>Wanneer de veroordeelde eigenaar, uitbater, huurder noch zaakvoerder is van de inrichting, kan de sluiting enkel worden bevolen indien de ernst van de concrete omstandigheden dit vereist, en dit voor een termijn van maximaal twee jaar, na dagvaarding van de eigenaar, de uitbater, de huurder of de zaakvoerder op vordering van het openbaar ministerie.</w:t>
            </w:r>
          </w:p>
          <w:p w14:paraId="3E3991B8" w14:textId="398A6595" w:rsidR="00946930" w:rsidRPr="0069784D" w:rsidRDefault="00946930" w:rsidP="009C15CF">
            <w:pPr>
              <w:jc w:val="both"/>
              <w:rPr>
                <w:rFonts w:cstheme="minorHAnsi"/>
                <w:i/>
                <w:iCs/>
                <w:color w:val="000000"/>
                <w:lang w:val="nl-BE"/>
              </w:rPr>
            </w:pPr>
          </w:p>
          <w:p w14:paraId="0D67E38B" w14:textId="77777777" w:rsidR="00946930" w:rsidRPr="0069784D" w:rsidRDefault="00946930" w:rsidP="009C15CF">
            <w:pPr>
              <w:jc w:val="both"/>
              <w:rPr>
                <w:rFonts w:cstheme="minorHAnsi"/>
                <w:i/>
                <w:iCs/>
                <w:color w:val="000000"/>
                <w:lang w:val="nl-BE"/>
              </w:rPr>
            </w:pPr>
          </w:p>
          <w:p w14:paraId="4908EACE" w14:textId="5ADA000F" w:rsidR="00946930" w:rsidRPr="0069784D" w:rsidRDefault="00946930" w:rsidP="009C15CF">
            <w:pPr>
              <w:jc w:val="both"/>
              <w:rPr>
                <w:rFonts w:cstheme="minorHAnsi"/>
                <w:i/>
                <w:iCs/>
                <w:color w:val="000000"/>
                <w:lang w:val="nl-BE"/>
              </w:rPr>
            </w:pPr>
            <w:r w:rsidRPr="0069784D">
              <w:rPr>
                <w:rFonts w:cstheme="minorHAnsi"/>
                <w:i/>
                <w:iCs/>
                <w:color w:val="000000"/>
                <w:lang w:val="nl-BE"/>
              </w:rPr>
              <w:t>De dagvaarding voor de rechtbank wordt in het [</w:t>
            </w:r>
            <w:hyperlink r:id="rId8" w:anchor="t" w:tooltip="&lt;W 2018-07-11/07, art. 68, 133; Inwerkingtreding : 30-07-2018&gt;" w:history="1">
              <w:r w:rsidRPr="0069784D">
                <w:rPr>
                  <w:rStyle w:val="Hyperlink"/>
                  <w:rFonts w:cstheme="minorHAnsi"/>
                  <w:i/>
                  <w:iCs/>
                  <w:color w:val="FF0000"/>
                  <w:vertAlign w:val="superscript"/>
                  <w:lang w:val="nl-BE"/>
                </w:rPr>
                <w:t>2</w:t>
              </w:r>
            </w:hyperlink>
            <w:r w:rsidRPr="0069784D">
              <w:rPr>
                <w:rFonts w:cstheme="minorHAnsi"/>
                <w:i/>
                <w:iCs/>
                <w:color w:val="000000"/>
                <w:lang w:val="nl-BE"/>
              </w:rPr>
              <w:t> bevoegde kantoor van de Algemene Administratie van de Patrimoniumdocumentatie]</w:t>
            </w:r>
            <w:hyperlink r:id="rId9" w:anchor="t" w:tooltip="&lt;W 2018-07-11/07, art. 68, 133; Inwerkingtreding : 30-07-2018&gt;" w:history="1">
              <w:r w:rsidRPr="0069784D">
                <w:rPr>
                  <w:rStyle w:val="Hyperlink"/>
                  <w:rFonts w:cstheme="minorHAnsi"/>
                  <w:i/>
                  <w:iCs/>
                  <w:color w:val="FF0000"/>
                  <w:vertAlign w:val="superscript"/>
                  <w:lang w:val="nl-BE"/>
                </w:rPr>
                <w:t>2</w:t>
              </w:r>
            </w:hyperlink>
            <w:r w:rsidRPr="0069784D">
              <w:rPr>
                <w:rFonts w:cstheme="minorHAnsi"/>
                <w:i/>
                <w:iCs/>
                <w:color w:val="000000"/>
                <w:lang w:val="nl-BE"/>
              </w:rPr>
              <w:t> van het gebied waar de goederen gelegen zijn, overgeschreven ten verzoeke van de deurwaarder die het exploot heeft opgemaakt.</w:t>
            </w:r>
          </w:p>
          <w:p w14:paraId="78412CC4" w14:textId="77777777" w:rsidR="00946930" w:rsidRPr="0069784D" w:rsidRDefault="00946930" w:rsidP="009C15CF">
            <w:pPr>
              <w:jc w:val="both"/>
              <w:rPr>
                <w:rFonts w:cstheme="minorHAnsi"/>
                <w:i/>
                <w:iCs/>
                <w:color w:val="000000"/>
                <w:lang w:val="nl-BE"/>
              </w:rPr>
            </w:pPr>
          </w:p>
          <w:p w14:paraId="14793267" w14:textId="77777777" w:rsidR="00946930" w:rsidRPr="0069784D" w:rsidRDefault="00946930" w:rsidP="009C15CF">
            <w:pPr>
              <w:jc w:val="both"/>
              <w:rPr>
                <w:rFonts w:cstheme="minorHAnsi"/>
                <w:i/>
                <w:iCs/>
                <w:color w:val="000000"/>
                <w:lang w:val="nl-BE"/>
              </w:rPr>
            </w:pPr>
            <w:r w:rsidRPr="0069784D">
              <w:rPr>
                <w:rFonts w:cstheme="minorHAnsi"/>
                <w:i/>
                <w:iCs/>
                <w:color w:val="000000"/>
                <w:lang w:val="nl-BE"/>
              </w:rPr>
              <w:t>De dagvaarding vermeldt de kadastrale omschrijving van het betrokken onroerende goed en identificeert de eigenaar ervan in de vorm en volgens de sanctie bepaald in artikel 12 van de wet van 10 oktober 1913 houdende wijzigingen in de hypotheekwet en in de wet op de gedwongen onteigeningen en regelende de herinrichting van de bewaring der hypotheken.</w:t>
            </w:r>
          </w:p>
          <w:p w14:paraId="7FB33A43" w14:textId="77777777" w:rsidR="00946930" w:rsidRPr="0069784D" w:rsidRDefault="00946930" w:rsidP="009C15CF">
            <w:pPr>
              <w:jc w:val="both"/>
              <w:rPr>
                <w:rFonts w:cstheme="minorHAnsi"/>
                <w:i/>
                <w:iCs/>
                <w:color w:val="000000"/>
                <w:lang w:val="nl-BE"/>
              </w:rPr>
            </w:pPr>
          </w:p>
          <w:p w14:paraId="6F350651" w14:textId="726C3DC9" w:rsidR="00946930" w:rsidRPr="0069784D" w:rsidRDefault="00946930" w:rsidP="009C15CF">
            <w:pPr>
              <w:jc w:val="both"/>
              <w:rPr>
                <w:rFonts w:cstheme="minorHAnsi"/>
                <w:i/>
                <w:iCs/>
                <w:color w:val="000000"/>
                <w:lang w:val="nl-BE"/>
              </w:rPr>
            </w:pPr>
            <w:r w:rsidRPr="0069784D">
              <w:rPr>
                <w:rFonts w:cstheme="minorHAnsi"/>
                <w:i/>
                <w:iCs/>
                <w:color w:val="000000"/>
                <w:lang w:val="nl-BE"/>
              </w:rPr>
              <w:t>Iedere in de zaak gewezen beslissing wordt in de kant van de overgeschreven dagvaarding vermeld op de wijze bepaald in artikel 84 van de hypotheekwet. De griffier doet de uittreksels en de verklaring dat er geen rechtsmiddelen aangewend zijn aan [</w:t>
            </w:r>
            <w:hyperlink r:id="rId10" w:anchor="t" w:tooltip="&lt;W 2018-07-11/07, art. 68, 133; Inwerkingtreding : 30-07-2018&gt;" w:history="1">
              <w:r w:rsidRPr="0069784D">
                <w:rPr>
                  <w:rStyle w:val="Hyperlink"/>
                  <w:rFonts w:cstheme="minorHAnsi"/>
                  <w:i/>
                  <w:iCs/>
                  <w:color w:val="FF0000"/>
                  <w:vertAlign w:val="superscript"/>
                  <w:lang w:val="nl-BE"/>
                </w:rPr>
                <w:t>2</w:t>
              </w:r>
            </w:hyperlink>
            <w:r w:rsidRPr="0069784D">
              <w:rPr>
                <w:rFonts w:cstheme="minorHAnsi"/>
                <w:i/>
                <w:iCs/>
                <w:color w:val="000000"/>
                <w:lang w:val="nl-BE"/>
              </w:rPr>
              <w:t> het bevoegde kantoor van de Algemene Administratie van de Patrimoniumdocumentatie]</w:t>
            </w:r>
            <w:hyperlink r:id="rId11" w:anchor="t" w:tooltip="&lt;W 2018-07-11/07, art. 68, 133; Inwerkingtreding : 30-07-2018&gt;" w:history="1">
              <w:r w:rsidRPr="0069784D">
                <w:rPr>
                  <w:rStyle w:val="Hyperlink"/>
                  <w:rFonts w:cstheme="minorHAnsi"/>
                  <w:i/>
                  <w:iCs/>
                  <w:color w:val="FF0000"/>
                  <w:vertAlign w:val="superscript"/>
                  <w:lang w:val="nl-BE"/>
                </w:rPr>
                <w:t>2</w:t>
              </w:r>
            </w:hyperlink>
            <w:r w:rsidRPr="0069784D">
              <w:rPr>
                <w:rFonts w:cstheme="minorHAnsi"/>
                <w:i/>
                <w:iCs/>
                <w:color w:val="000000"/>
                <w:lang w:val="nl-BE"/>
              </w:rPr>
              <w:t> toekomen.</w:t>
            </w:r>
          </w:p>
          <w:p w14:paraId="31AAA349" w14:textId="77777777" w:rsidR="0058217C" w:rsidRPr="0069784D" w:rsidRDefault="0058217C" w:rsidP="009C15CF">
            <w:pPr>
              <w:jc w:val="both"/>
              <w:rPr>
                <w:rFonts w:cstheme="minorHAnsi"/>
                <w:i/>
                <w:iCs/>
                <w:color w:val="000000"/>
                <w:lang w:val="nl-BE"/>
              </w:rPr>
            </w:pPr>
          </w:p>
          <w:p w14:paraId="11E38E66" w14:textId="77777777" w:rsidR="0058217C" w:rsidRPr="0069784D" w:rsidRDefault="0058217C" w:rsidP="009C15CF">
            <w:pPr>
              <w:jc w:val="both"/>
              <w:rPr>
                <w:rFonts w:cstheme="minorHAnsi"/>
                <w:i/>
                <w:iCs/>
                <w:color w:val="000000"/>
                <w:lang w:val="nl-BE"/>
              </w:rPr>
            </w:pPr>
          </w:p>
          <w:p w14:paraId="27359C82" w14:textId="7A4706FA" w:rsidR="0002514B" w:rsidRPr="0069784D" w:rsidRDefault="00946930" w:rsidP="009C15CF">
            <w:pPr>
              <w:jc w:val="both"/>
              <w:rPr>
                <w:rFonts w:eastAsia="Times New Roman" w:cstheme="minorHAnsi"/>
                <w:i/>
                <w:iCs/>
                <w:lang w:val="nl-BE" w:eastAsia="en-GB"/>
              </w:rPr>
            </w:pPr>
            <w:r w:rsidRPr="0069784D">
              <w:rPr>
                <w:rFonts w:cstheme="minorHAnsi"/>
                <w:i/>
                <w:iCs/>
                <w:color w:val="000000"/>
                <w:lang w:val="nl-BE"/>
              </w:rPr>
              <w:lastRenderedPageBreak/>
              <w:t>§4. Artikel 389 is van toepassing op deze bepaling.</w:t>
            </w:r>
          </w:p>
        </w:tc>
        <w:tc>
          <w:tcPr>
            <w:tcW w:w="4508" w:type="dxa"/>
            <w:tcBorders>
              <w:top w:val="single" w:sz="4" w:space="0" w:color="auto"/>
              <w:left w:val="single" w:sz="4" w:space="0" w:color="auto"/>
              <w:bottom w:val="single" w:sz="4" w:space="0" w:color="auto"/>
              <w:right w:val="single" w:sz="4" w:space="0" w:color="auto"/>
            </w:tcBorders>
          </w:tcPr>
          <w:p w14:paraId="2AC15204" w14:textId="77777777" w:rsidR="00946930" w:rsidRPr="0069784D" w:rsidRDefault="00946930" w:rsidP="009C15CF">
            <w:pPr>
              <w:jc w:val="both"/>
              <w:rPr>
                <w:i/>
                <w:iCs/>
                <w:color w:val="000000"/>
                <w:lang w:val="nl-BE"/>
              </w:rPr>
            </w:pPr>
            <w:r w:rsidRPr="0069784D">
              <w:rPr>
                <w:i/>
                <w:iCs/>
                <w:color w:val="000000"/>
                <w:lang w:val="nl-BE"/>
              </w:rPr>
              <w:lastRenderedPageBreak/>
              <w:t>Onverminderd andere wettelijke bepalingen, kan de rechter in de in dit hoofdstuk bedoelde gevallen, ongeacht de hoedanigheid van natuurlijke- of rechtspersoon, van de uitbater, eigenaar, huurder of zaakvoerder, de sluiting van de inrichting bevelen waar de inbreuken werden gepleegd, voor een termijn van één maand tot drie jaar.</w:t>
            </w:r>
          </w:p>
          <w:p w14:paraId="24209302" w14:textId="77777777" w:rsidR="00946930" w:rsidRPr="0069784D" w:rsidRDefault="00946930" w:rsidP="009C15CF">
            <w:pPr>
              <w:jc w:val="both"/>
              <w:rPr>
                <w:i/>
                <w:iCs/>
                <w:color w:val="000000"/>
                <w:lang w:val="nl-BE"/>
              </w:rPr>
            </w:pPr>
          </w:p>
          <w:p w14:paraId="3F17C635" w14:textId="77777777" w:rsidR="00946930" w:rsidRPr="0069784D" w:rsidRDefault="00946930" w:rsidP="009C15CF">
            <w:pPr>
              <w:jc w:val="both"/>
              <w:rPr>
                <w:i/>
                <w:iCs/>
                <w:color w:val="000000"/>
                <w:lang w:val="nl-BE"/>
              </w:rPr>
            </w:pPr>
            <w:r w:rsidRPr="0069784D">
              <w:rPr>
                <w:i/>
                <w:iCs/>
                <w:color w:val="000000"/>
                <w:lang w:val="nl-BE"/>
              </w:rPr>
              <w:t>Wanneer de veroordeelde niet de eigenaar, uitbater, huurder of zaakvoerder van de inrichting is, kan de sluiting slechts worden bevolen indien de ernst van de specifieke omstandigheden dit vereist, en dit voor een periode van ten hoogste twee jaar, na dagvaarding op verzoek van het openbaar ministerie, de eigenaar, de uitbater, de huurder of de zaakvoerder van de inrichting.</w:t>
            </w:r>
          </w:p>
          <w:p w14:paraId="55A1C188" w14:textId="77777777" w:rsidR="00946930" w:rsidRPr="0069784D" w:rsidRDefault="00946930" w:rsidP="009C15CF">
            <w:pPr>
              <w:jc w:val="both"/>
              <w:rPr>
                <w:i/>
                <w:iCs/>
                <w:color w:val="000000"/>
                <w:lang w:val="nl-BE"/>
              </w:rPr>
            </w:pPr>
          </w:p>
          <w:p w14:paraId="533171E4" w14:textId="77777777" w:rsidR="00946930" w:rsidRPr="0069784D" w:rsidRDefault="00946930" w:rsidP="009C15CF">
            <w:pPr>
              <w:jc w:val="both"/>
              <w:rPr>
                <w:i/>
                <w:iCs/>
                <w:color w:val="000000"/>
                <w:lang w:val="nl-BE"/>
              </w:rPr>
            </w:pPr>
            <w:r w:rsidRPr="0069784D">
              <w:rPr>
                <w:i/>
                <w:iCs/>
                <w:color w:val="000000"/>
                <w:lang w:val="nl-BE"/>
              </w:rPr>
              <w:t>De dagvaarding voor de rechtbank wordt op verzoek van de gerechtsdeurwaarder die de dagvaarding heeft uitgebracht, overgeschreven in het bevoegde kantoor van de Algemene Administratie van de Patrimoniumdocumentatie van de plaats waar het goed zich bevindt.</w:t>
            </w:r>
          </w:p>
          <w:p w14:paraId="18003410" w14:textId="775F5BED" w:rsidR="00946930" w:rsidRPr="0069784D" w:rsidRDefault="00946930" w:rsidP="009C15CF">
            <w:pPr>
              <w:jc w:val="both"/>
              <w:rPr>
                <w:i/>
                <w:iCs/>
                <w:color w:val="000000"/>
                <w:lang w:val="nl-BE"/>
              </w:rPr>
            </w:pPr>
          </w:p>
          <w:p w14:paraId="205695B3" w14:textId="77777777" w:rsidR="00946930" w:rsidRPr="0069784D" w:rsidRDefault="00946930" w:rsidP="009C15CF">
            <w:pPr>
              <w:jc w:val="both"/>
              <w:rPr>
                <w:i/>
                <w:iCs/>
                <w:color w:val="000000"/>
                <w:lang w:val="nl-BE"/>
              </w:rPr>
            </w:pPr>
          </w:p>
          <w:p w14:paraId="206E13AB" w14:textId="77777777" w:rsidR="00946930" w:rsidRPr="0069784D" w:rsidRDefault="00946930" w:rsidP="009C15CF">
            <w:pPr>
              <w:jc w:val="both"/>
              <w:rPr>
                <w:i/>
                <w:iCs/>
                <w:color w:val="000000"/>
                <w:lang w:val="nl-BE"/>
              </w:rPr>
            </w:pPr>
            <w:r w:rsidRPr="0069784D">
              <w:rPr>
                <w:i/>
                <w:iCs/>
                <w:color w:val="000000"/>
                <w:lang w:val="nl-BE"/>
              </w:rPr>
              <w:t>De dagvaarding bevat de gegevens van het betrokken onroerend goed bedoeld in artikel 141 van de Hypotheekwet van 16 december 1851 en de identificatiegegevens van de eigenaar ervan zoals bepaald in de artikelen 139 en 140 van de Hypotheekwet.</w:t>
            </w:r>
          </w:p>
          <w:p w14:paraId="110C434A" w14:textId="77777777" w:rsidR="00946930" w:rsidRPr="0069784D" w:rsidRDefault="00946930" w:rsidP="009C15CF">
            <w:pPr>
              <w:jc w:val="both"/>
              <w:rPr>
                <w:i/>
                <w:iCs/>
                <w:color w:val="000000"/>
                <w:lang w:val="nl-BE"/>
              </w:rPr>
            </w:pPr>
          </w:p>
          <w:p w14:paraId="6A0BBE7C" w14:textId="77777777" w:rsidR="00946930" w:rsidRPr="0069784D" w:rsidRDefault="00946930" w:rsidP="009C15CF">
            <w:pPr>
              <w:jc w:val="both"/>
              <w:rPr>
                <w:i/>
                <w:iCs/>
                <w:color w:val="000000"/>
                <w:lang w:val="nl-BE"/>
              </w:rPr>
            </w:pPr>
          </w:p>
          <w:p w14:paraId="548DCA8B" w14:textId="77777777" w:rsidR="00946930" w:rsidRPr="0069784D" w:rsidRDefault="00946930" w:rsidP="009C15CF">
            <w:pPr>
              <w:jc w:val="both"/>
              <w:rPr>
                <w:i/>
                <w:iCs/>
                <w:color w:val="000000"/>
                <w:lang w:val="nl-BE"/>
              </w:rPr>
            </w:pPr>
          </w:p>
          <w:p w14:paraId="1608BEE0" w14:textId="77777777" w:rsidR="0058217C" w:rsidRPr="0069784D" w:rsidRDefault="00946930" w:rsidP="009C15CF">
            <w:pPr>
              <w:jc w:val="both"/>
              <w:rPr>
                <w:i/>
                <w:iCs/>
                <w:color w:val="000000"/>
                <w:lang w:val="nl-BE"/>
              </w:rPr>
            </w:pPr>
            <w:r w:rsidRPr="0069784D">
              <w:rPr>
                <w:i/>
                <w:iCs/>
                <w:color w:val="000000"/>
                <w:lang w:val="nl-BE"/>
              </w:rPr>
              <w:t>Elke beslissing wordt op de kant van de overschrijving van het proces-verbaal van de dagvaarding vermeld overeenkomstig de procedure van artikel 84 van de Hypotheekwet. De griffier van het gerecht zendt de uittreksels en de verklaring dat geen hoger beroep werd ingesteld toe aan het bevoegde kantoor van de Algemene Administratie van de Patrimoniumdocumentatie.</w:t>
            </w:r>
          </w:p>
          <w:p w14:paraId="5DE0CBBA" w14:textId="77777777" w:rsidR="0058217C" w:rsidRPr="0069784D" w:rsidRDefault="0058217C" w:rsidP="009C15CF">
            <w:pPr>
              <w:jc w:val="both"/>
              <w:rPr>
                <w:i/>
                <w:iCs/>
                <w:color w:val="000000"/>
                <w:lang w:val="nl-BE"/>
              </w:rPr>
            </w:pPr>
          </w:p>
          <w:p w14:paraId="74BF6357" w14:textId="13F47BDC" w:rsidR="0002514B" w:rsidRPr="0069784D" w:rsidRDefault="00946930" w:rsidP="009C15CF">
            <w:pPr>
              <w:jc w:val="both"/>
              <w:rPr>
                <w:rFonts w:eastAsia="Times New Roman" w:cstheme="minorHAnsi"/>
                <w:i/>
                <w:iCs/>
                <w:lang w:val="nl-BE" w:eastAsia="en-GB"/>
              </w:rPr>
            </w:pPr>
            <w:r w:rsidRPr="0069784D">
              <w:rPr>
                <w:i/>
                <w:iCs/>
                <w:color w:val="000000"/>
                <w:lang w:val="nl-BE"/>
              </w:rPr>
              <w:lastRenderedPageBreak/>
              <w:t>De sluiting van de inrichting houdt het verbod in hierin enige activiteit uit te oefenen die verband houdt met diegene die geleid heeft tot het plegen van het misdrijf. De sluiting gaat in vanaf de dag waarop de veroordeling in kracht van gewijsde is getreden. Bij gebreke aan vrijwillige sluiting gebeurt deze op initiatief van het openbaar ministerie op kosten van de veroordeelde.</w:t>
            </w:r>
          </w:p>
        </w:tc>
      </w:tr>
    </w:tbl>
    <w:p w14:paraId="24D9F0F2" w14:textId="77777777" w:rsidR="0002514B" w:rsidRPr="0069784D" w:rsidRDefault="0002514B" w:rsidP="009C15CF">
      <w:pPr>
        <w:jc w:val="both"/>
        <w:rPr>
          <w:rFonts w:eastAsia="Times New Roman" w:cstheme="minorHAnsi"/>
          <w:bCs/>
          <w:lang w:val="nl-BE" w:eastAsia="en-GB"/>
        </w:rPr>
      </w:pPr>
    </w:p>
    <w:p w14:paraId="57FD3314" w14:textId="218B7CC3" w:rsidR="0002514B" w:rsidRPr="0069784D" w:rsidRDefault="0058217C" w:rsidP="009C15CF">
      <w:pPr>
        <w:jc w:val="both"/>
        <w:rPr>
          <w:rFonts w:eastAsia="Times New Roman" w:cstheme="minorHAnsi"/>
          <w:bCs/>
          <w:lang w:val="nl-BE" w:eastAsia="en-GB"/>
        </w:rPr>
      </w:pPr>
      <w:r w:rsidRPr="0069784D">
        <w:rPr>
          <w:rFonts w:eastAsia="Times New Roman" w:cstheme="minorHAnsi"/>
          <w:bCs/>
          <w:lang w:val="nl-BE" w:eastAsia="en-GB"/>
        </w:rPr>
        <w:t>Het toepassingsgebied van artikel 388 van het Strafwetboek was veel beperkter, aangezien het een mogelijkheid tot sluiting omvatte:</w:t>
      </w:r>
    </w:p>
    <w:p w14:paraId="279D64D4" w14:textId="094EA495" w:rsidR="0002514B" w:rsidRPr="0069784D" w:rsidRDefault="00E849B0" w:rsidP="009C15CF">
      <w:pPr>
        <w:pStyle w:val="ListParagraph"/>
        <w:numPr>
          <w:ilvl w:val="0"/>
          <w:numId w:val="18"/>
        </w:numPr>
        <w:spacing w:line="256" w:lineRule="auto"/>
        <w:jc w:val="both"/>
        <w:rPr>
          <w:rFonts w:eastAsia="Times New Roman" w:cstheme="minorHAnsi"/>
          <w:bCs/>
          <w:lang w:val="nl-BE" w:eastAsia="en-GB"/>
        </w:rPr>
      </w:pPr>
      <w:r w:rsidRPr="0069784D">
        <w:rPr>
          <w:rFonts w:eastAsia="Times New Roman" w:cstheme="minorHAnsi"/>
          <w:bCs/>
          <w:lang w:val="nl-BE" w:eastAsia="en-GB"/>
        </w:rPr>
        <w:t>v</w:t>
      </w:r>
      <w:r w:rsidR="0058217C" w:rsidRPr="0069784D">
        <w:rPr>
          <w:rFonts w:eastAsia="Times New Roman" w:cstheme="minorHAnsi"/>
          <w:bCs/>
          <w:lang w:val="nl-BE" w:eastAsia="en-GB"/>
        </w:rPr>
        <w:t>oor feiten van openbare</w:t>
      </w:r>
      <w:r w:rsidR="0002514B" w:rsidRPr="0069784D">
        <w:rPr>
          <w:rFonts w:eastAsia="Times New Roman" w:cstheme="minorHAnsi"/>
          <w:bCs/>
          <w:lang w:val="nl-BE" w:eastAsia="en-GB"/>
        </w:rPr>
        <w:t xml:space="preserve"> </w:t>
      </w:r>
      <w:r w:rsidR="0058217C" w:rsidRPr="0069784D">
        <w:rPr>
          <w:rFonts w:eastAsia="Times New Roman" w:cstheme="minorHAnsi"/>
          <w:bCs/>
          <w:lang w:val="nl-BE" w:eastAsia="en-GB"/>
        </w:rPr>
        <w:t>zedenschennis ten aanzien van minderjarigen</w:t>
      </w:r>
      <w:r w:rsidRPr="0069784D">
        <w:rPr>
          <w:rFonts w:eastAsia="Times New Roman" w:cstheme="minorHAnsi"/>
          <w:bCs/>
          <w:lang w:val="nl-BE" w:eastAsia="en-GB"/>
        </w:rPr>
        <w:t xml:space="preserve"> </w:t>
      </w:r>
      <w:r w:rsidR="0002514B" w:rsidRPr="0069784D">
        <w:rPr>
          <w:rFonts w:eastAsia="Times New Roman" w:cstheme="minorHAnsi"/>
          <w:bCs/>
          <w:lang w:val="nl-BE" w:eastAsia="en-GB"/>
        </w:rPr>
        <w:t>(</w:t>
      </w:r>
      <w:r w:rsidR="0058217C" w:rsidRPr="0069784D">
        <w:rPr>
          <w:rFonts w:eastAsia="Times New Roman" w:cstheme="minorHAnsi"/>
          <w:bCs/>
          <w:lang w:val="nl-BE" w:eastAsia="en-GB"/>
        </w:rPr>
        <w:t xml:space="preserve">artikel </w:t>
      </w:r>
      <w:r w:rsidR="0002514B" w:rsidRPr="0069784D">
        <w:rPr>
          <w:rFonts w:eastAsia="Times New Roman" w:cstheme="minorHAnsi"/>
          <w:bCs/>
          <w:lang w:val="nl-BE" w:eastAsia="en-GB"/>
        </w:rPr>
        <w:t>386</w:t>
      </w:r>
      <w:r w:rsidR="0058217C" w:rsidRPr="0069784D">
        <w:rPr>
          <w:rFonts w:eastAsia="Times New Roman" w:cstheme="minorHAnsi"/>
          <w:bCs/>
          <w:lang w:val="nl-BE" w:eastAsia="en-GB"/>
        </w:rPr>
        <w:t>, lid 1 of artikel</w:t>
      </w:r>
      <w:r w:rsidR="0002514B" w:rsidRPr="0069784D">
        <w:rPr>
          <w:rFonts w:eastAsia="Times New Roman" w:cstheme="minorHAnsi"/>
          <w:bCs/>
          <w:lang w:val="nl-BE" w:eastAsia="en-GB"/>
        </w:rPr>
        <w:t xml:space="preserve"> 387)</w:t>
      </w:r>
    </w:p>
    <w:p w14:paraId="5C31D555" w14:textId="37506867" w:rsidR="0002514B" w:rsidRPr="0069784D" w:rsidRDefault="0058217C" w:rsidP="009C15CF">
      <w:pPr>
        <w:pStyle w:val="ListParagraph"/>
        <w:jc w:val="both"/>
        <w:rPr>
          <w:rFonts w:eastAsia="Times New Roman" w:cstheme="minorHAnsi"/>
          <w:b/>
          <w:lang w:val="nl-BE" w:eastAsia="en-GB"/>
        </w:rPr>
      </w:pPr>
      <w:r w:rsidRPr="0069784D">
        <w:rPr>
          <w:rFonts w:eastAsia="Times New Roman" w:cstheme="minorHAnsi"/>
          <w:b/>
          <w:lang w:val="nl-BE" w:eastAsia="en-GB"/>
        </w:rPr>
        <w:t>op voorwaarde dat</w:t>
      </w:r>
    </w:p>
    <w:p w14:paraId="3E7AC46A" w14:textId="4ABB3EEE" w:rsidR="0058217C" w:rsidRPr="0069784D" w:rsidRDefault="0058217C" w:rsidP="009C15CF">
      <w:pPr>
        <w:pStyle w:val="ListParagraph"/>
        <w:numPr>
          <w:ilvl w:val="0"/>
          <w:numId w:val="18"/>
        </w:numPr>
        <w:jc w:val="both"/>
        <w:rPr>
          <w:rFonts w:eastAsia="Times New Roman" w:cstheme="minorHAnsi"/>
          <w:lang w:val="nl-BE" w:eastAsia="en-GB"/>
        </w:rPr>
      </w:pPr>
      <w:r w:rsidRPr="0069784D">
        <w:rPr>
          <w:color w:val="000000"/>
          <w:lang w:val="nl-BE"/>
        </w:rPr>
        <w:t xml:space="preserve">het misdrijf gepleegd </w:t>
      </w:r>
      <w:r w:rsidR="00237792">
        <w:rPr>
          <w:color w:val="000000"/>
          <w:lang w:val="nl-BE"/>
        </w:rPr>
        <w:t>was</w:t>
      </w:r>
      <w:r w:rsidRPr="0069784D">
        <w:rPr>
          <w:color w:val="000000"/>
          <w:lang w:val="nl-BE"/>
        </w:rPr>
        <w:t xml:space="preserve"> bij het exploiteren van een boekhandel, een antiquariaat, een handel in fotoartikelen of in materiaal vereist voor de totstandkoming van iedere soort van visuele drager of een onderneming van vertoningen</w:t>
      </w:r>
      <w:r w:rsidRPr="0069784D">
        <w:rPr>
          <w:lang w:val="nl-BE"/>
        </w:rPr>
        <w:t xml:space="preserve"> </w:t>
      </w:r>
    </w:p>
    <w:p w14:paraId="595DF0E7" w14:textId="4718A340" w:rsidR="0002514B" w:rsidRPr="0069784D" w:rsidRDefault="00237792" w:rsidP="009C15CF">
      <w:pPr>
        <w:jc w:val="both"/>
        <w:rPr>
          <w:rFonts w:eastAsia="Times New Roman" w:cstheme="minorHAnsi"/>
          <w:lang w:val="nl-BE" w:eastAsia="en-GB"/>
        </w:rPr>
      </w:pPr>
      <w:r w:rsidRPr="00052FD1">
        <w:rPr>
          <w:lang w:val="nl-BE"/>
        </w:rPr>
        <w:t>De duur van de sluiting w</w:t>
      </w:r>
      <w:r>
        <w:rPr>
          <w:lang w:val="nl-BE"/>
        </w:rPr>
        <w:t>ordt niet gewijzigd</w:t>
      </w:r>
      <w:r w:rsidR="008A19CC" w:rsidRPr="0069784D">
        <w:rPr>
          <w:lang w:val="nl-BE"/>
        </w:rPr>
        <w:t xml:space="preserve">, maar het is niet langer mogelijk deze duur te </w:t>
      </w:r>
      <w:r w:rsidR="00E849B0" w:rsidRPr="0069784D">
        <w:rPr>
          <w:lang w:val="nl-BE"/>
        </w:rPr>
        <w:t>verlengen</w:t>
      </w:r>
      <w:r w:rsidR="008A19CC" w:rsidRPr="0069784D">
        <w:rPr>
          <w:lang w:val="nl-BE"/>
        </w:rPr>
        <w:t xml:space="preserve"> na een tweede of derde </w:t>
      </w:r>
      <w:r w:rsidR="00933C62" w:rsidRPr="0069784D">
        <w:rPr>
          <w:lang w:val="nl-BE"/>
        </w:rPr>
        <w:t>veroordeling</w:t>
      </w:r>
      <w:r w:rsidR="008A19CC" w:rsidRPr="0069784D">
        <w:rPr>
          <w:lang w:val="nl-BE"/>
        </w:rPr>
        <w:t>, zoals wel mogelijk was overeenkomstig de vroegere bepalingen. De mogelijkheid van een definitieve sluiting na een derde veroordeling binnen de vijf jaar na de tweede, wat mogelijk was op grond van artikel 388, lid 4, van het Strafwetboek, wordt geschrapt.</w:t>
      </w:r>
    </w:p>
    <w:p w14:paraId="03EFA211" w14:textId="0126F330" w:rsidR="0002514B" w:rsidRPr="00237792" w:rsidRDefault="00237792" w:rsidP="009C15CF">
      <w:pPr>
        <w:jc w:val="both"/>
        <w:rPr>
          <w:rFonts w:eastAsia="Times New Roman" w:cstheme="minorHAnsi"/>
          <w:bCs/>
          <w:lang w:val="nl-NL" w:eastAsia="en-GB"/>
        </w:rPr>
      </w:pPr>
      <w:r>
        <w:rPr>
          <w:lang w:val="nl-BE"/>
        </w:rPr>
        <w:t>We stippen nog meerdere verschillen aan</w:t>
      </w:r>
      <w:r w:rsidR="0002514B" w:rsidRPr="00237792">
        <w:rPr>
          <w:rFonts w:eastAsia="Times New Roman" w:cstheme="minorHAnsi"/>
          <w:bCs/>
          <w:lang w:val="nl-NL" w:eastAsia="en-GB"/>
        </w:rPr>
        <w:t xml:space="preserve">: </w:t>
      </w:r>
    </w:p>
    <w:p w14:paraId="1B2918FB" w14:textId="5F806B24" w:rsidR="0002514B" w:rsidRPr="0069784D" w:rsidRDefault="008A19CC" w:rsidP="009C15CF">
      <w:pPr>
        <w:pStyle w:val="ListParagraph"/>
        <w:numPr>
          <w:ilvl w:val="0"/>
          <w:numId w:val="18"/>
        </w:numPr>
        <w:spacing w:line="256" w:lineRule="auto"/>
        <w:jc w:val="both"/>
        <w:rPr>
          <w:rFonts w:eastAsia="Times New Roman" w:cstheme="minorHAnsi"/>
          <w:bCs/>
          <w:lang w:val="nl-BE" w:eastAsia="en-GB"/>
        </w:rPr>
      </w:pPr>
      <w:r w:rsidRPr="0069784D">
        <w:rPr>
          <w:rFonts w:eastAsia="Times New Roman" w:cstheme="minorHAnsi"/>
          <w:bCs/>
          <w:lang w:val="nl-BE" w:eastAsia="en-GB"/>
        </w:rPr>
        <w:t xml:space="preserve">de nieuwe wet breidt het toepassingsgebied van de sluitingen uit, aangezien dit voortaan mogelijk is voor alle misdrijven uit het hoofdstuk (een sluiting zou bijvoorbeeld opgelegd kunnen worden wanneer in een bepaald etablissement herhaaldelijk verkrachtingen gebeuren, </w:t>
      </w:r>
      <w:r w:rsidR="00237792">
        <w:rPr>
          <w:lang w:val="nl-BE"/>
        </w:rPr>
        <w:t>zie bijvoordeeld de beweging</w:t>
      </w:r>
      <w:r w:rsidR="00237792" w:rsidRPr="0069784D">
        <w:rPr>
          <w:rFonts w:eastAsia="Times New Roman" w:cstheme="minorHAnsi"/>
          <w:bCs/>
          <w:i/>
          <w:iCs/>
          <w:lang w:val="nl-BE" w:eastAsia="en-GB"/>
        </w:rPr>
        <w:t xml:space="preserve"> </w:t>
      </w:r>
      <w:r w:rsidR="0002514B" w:rsidRPr="0069784D">
        <w:rPr>
          <w:rFonts w:eastAsia="Times New Roman" w:cstheme="minorHAnsi"/>
          <w:bCs/>
          <w:i/>
          <w:iCs/>
          <w:lang w:val="nl-BE" w:eastAsia="en-GB"/>
        </w:rPr>
        <w:t>balance ton ba</w:t>
      </w:r>
      <w:r w:rsidR="002949AF" w:rsidRPr="0069784D">
        <w:rPr>
          <w:rFonts w:eastAsia="Times New Roman" w:cstheme="minorHAnsi"/>
          <w:bCs/>
          <w:i/>
          <w:iCs/>
          <w:lang w:val="nl-BE" w:eastAsia="en-GB"/>
        </w:rPr>
        <w:t>r</w:t>
      </w:r>
      <w:r w:rsidR="0002514B" w:rsidRPr="0069784D">
        <w:rPr>
          <w:rFonts w:eastAsia="Times New Roman" w:cstheme="minorHAnsi"/>
          <w:bCs/>
          <w:lang w:val="nl-BE" w:eastAsia="en-GB"/>
        </w:rPr>
        <w:t>)</w:t>
      </w:r>
      <w:r w:rsidR="002949AF" w:rsidRPr="0069784D">
        <w:rPr>
          <w:rFonts w:eastAsia="Times New Roman" w:cstheme="minorHAnsi"/>
          <w:bCs/>
          <w:lang w:val="nl-BE" w:eastAsia="en-GB"/>
        </w:rPr>
        <w:t>.</w:t>
      </w:r>
    </w:p>
    <w:p w14:paraId="12B00E82" w14:textId="0672611F" w:rsidR="0002514B" w:rsidRPr="0069784D" w:rsidRDefault="002949AF" w:rsidP="009C15CF">
      <w:pPr>
        <w:pStyle w:val="ListParagraph"/>
        <w:numPr>
          <w:ilvl w:val="0"/>
          <w:numId w:val="18"/>
        </w:numPr>
        <w:spacing w:line="256" w:lineRule="auto"/>
        <w:jc w:val="both"/>
        <w:rPr>
          <w:rFonts w:eastAsia="Times New Roman" w:cstheme="minorHAnsi"/>
          <w:bCs/>
          <w:lang w:val="nl-BE" w:eastAsia="en-GB"/>
        </w:rPr>
      </w:pPr>
      <w:r w:rsidRPr="0069784D">
        <w:rPr>
          <w:rFonts w:eastAsia="Times New Roman" w:cstheme="minorHAnsi"/>
          <w:bCs/>
          <w:lang w:val="nl-BE" w:eastAsia="en-GB"/>
        </w:rPr>
        <w:t xml:space="preserve">de nieuwe wet heeft </w:t>
      </w:r>
      <w:r w:rsidR="00237792" w:rsidRPr="00173321">
        <w:rPr>
          <w:lang w:val="nl-BE"/>
        </w:rPr>
        <w:t>daarentegen</w:t>
      </w:r>
      <w:r w:rsidRPr="0069784D">
        <w:rPr>
          <w:rFonts w:eastAsia="Times New Roman" w:cstheme="minorHAnsi"/>
          <w:bCs/>
          <w:lang w:val="nl-BE" w:eastAsia="en-GB"/>
        </w:rPr>
        <w:t xml:space="preserve"> </w:t>
      </w:r>
      <w:r w:rsidR="00933C62" w:rsidRPr="0069784D">
        <w:rPr>
          <w:rFonts w:eastAsia="Times New Roman" w:cstheme="minorHAnsi"/>
          <w:bCs/>
          <w:lang w:val="nl-BE" w:eastAsia="en-GB"/>
        </w:rPr>
        <w:t>enkel</w:t>
      </w:r>
      <w:r w:rsidRPr="0069784D">
        <w:rPr>
          <w:rFonts w:eastAsia="Times New Roman" w:cstheme="minorHAnsi"/>
          <w:bCs/>
          <w:lang w:val="nl-BE" w:eastAsia="en-GB"/>
        </w:rPr>
        <w:t xml:space="preserve"> betrekking op seksuele uitbuiting van minderjarigen, aangezien de bepalingen inzake pooierschap van meerderjarigen voortaan in een </w:t>
      </w:r>
      <w:r w:rsidR="00E849B0" w:rsidRPr="0069784D">
        <w:rPr>
          <w:rFonts w:eastAsia="Times New Roman" w:cstheme="minorHAnsi"/>
          <w:bCs/>
          <w:lang w:val="nl-BE" w:eastAsia="en-GB"/>
        </w:rPr>
        <w:t>afzonderlijk</w:t>
      </w:r>
      <w:r w:rsidR="00933C62" w:rsidRPr="0069784D">
        <w:rPr>
          <w:rFonts w:eastAsia="Times New Roman" w:cstheme="minorHAnsi"/>
          <w:bCs/>
          <w:lang w:val="nl-BE" w:eastAsia="en-GB"/>
        </w:rPr>
        <w:t xml:space="preserve"> </w:t>
      </w:r>
      <w:r w:rsidRPr="0069784D">
        <w:rPr>
          <w:rFonts w:eastAsia="Times New Roman" w:cstheme="minorHAnsi"/>
          <w:bCs/>
          <w:lang w:val="nl-BE" w:eastAsia="en-GB"/>
        </w:rPr>
        <w:t>hoofdstuk opgenomen worden (artikel 433</w:t>
      </w:r>
      <w:r w:rsidR="0002514B" w:rsidRPr="0069784D">
        <w:rPr>
          <w:rFonts w:eastAsia="Times New Roman" w:cstheme="minorHAnsi"/>
          <w:bCs/>
          <w:lang w:val="nl-BE" w:eastAsia="en-GB"/>
        </w:rPr>
        <w:t>quater/5)</w:t>
      </w:r>
      <w:r w:rsidRPr="0069784D">
        <w:rPr>
          <w:rFonts w:eastAsia="Times New Roman" w:cstheme="minorHAnsi"/>
          <w:bCs/>
          <w:lang w:val="nl-BE" w:eastAsia="en-GB"/>
        </w:rPr>
        <w:t>.</w:t>
      </w:r>
    </w:p>
    <w:p w14:paraId="072942FC" w14:textId="029EDB9D" w:rsidR="0002514B" w:rsidRPr="0069784D" w:rsidRDefault="00237792" w:rsidP="009C15CF">
      <w:pPr>
        <w:pStyle w:val="ListParagraph"/>
        <w:numPr>
          <w:ilvl w:val="0"/>
          <w:numId w:val="18"/>
        </w:numPr>
        <w:spacing w:line="256" w:lineRule="auto"/>
        <w:jc w:val="both"/>
        <w:rPr>
          <w:rFonts w:eastAsia="Times New Roman" w:cstheme="minorHAnsi"/>
          <w:bCs/>
          <w:lang w:val="nl-BE" w:eastAsia="en-GB"/>
        </w:rPr>
      </w:pPr>
      <w:r>
        <w:rPr>
          <w:lang w:val="nl-BE"/>
        </w:rPr>
        <w:t>de gegevens die in de dagvaarding moeten worden vermeld worden gewijzigd</w:t>
      </w:r>
      <w:r w:rsidR="002949AF" w:rsidRPr="0069784D">
        <w:rPr>
          <w:rFonts w:eastAsia="Times New Roman" w:cstheme="minorHAnsi"/>
          <w:bCs/>
          <w:lang w:val="nl-BE" w:eastAsia="en-GB"/>
        </w:rPr>
        <w:t>.</w:t>
      </w:r>
    </w:p>
    <w:p w14:paraId="54FB6209" w14:textId="2F3DFC06" w:rsidR="0002514B" w:rsidRPr="0069784D" w:rsidRDefault="002949AF" w:rsidP="009C15CF">
      <w:pPr>
        <w:pStyle w:val="ListParagraph"/>
        <w:numPr>
          <w:ilvl w:val="0"/>
          <w:numId w:val="18"/>
        </w:numPr>
        <w:spacing w:line="256" w:lineRule="auto"/>
        <w:jc w:val="both"/>
        <w:rPr>
          <w:rFonts w:eastAsia="Times New Roman" w:cstheme="minorHAnsi"/>
          <w:bCs/>
          <w:lang w:val="nl-BE" w:eastAsia="en-GB"/>
        </w:rPr>
      </w:pPr>
      <w:r w:rsidRPr="0069784D">
        <w:rPr>
          <w:rFonts w:eastAsia="Times New Roman" w:cstheme="minorHAnsi"/>
          <w:bCs/>
          <w:lang w:val="nl-BE" w:eastAsia="en-GB"/>
        </w:rPr>
        <w:t xml:space="preserve">de wetgever verduidelijkte </w:t>
      </w:r>
      <w:r w:rsidR="00237792">
        <w:rPr>
          <w:lang w:val="nl-BE"/>
        </w:rPr>
        <w:t>de betekenis van</w:t>
      </w:r>
      <w:r w:rsidR="00237792" w:rsidRPr="0069784D">
        <w:rPr>
          <w:rFonts w:eastAsia="Times New Roman" w:cstheme="minorHAnsi"/>
          <w:bCs/>
          <w:lang w:val="nl-BE" w:eastAsia="en-GB"/>
        </w:rPr>
        <w:t xml:space="preserve"> </w:t>
      </w:r>
      <w:r w:rsidR="00237792">
        <w:rPr>
          <w:lang w:val="nl-BE"/>
        </w:rPr>
        <w:t>het</w:t>
      </w:r>
      <w:r w:rsidR="002615A3" w:rsidRPr="0069784D">
        <w:rPr>
          <w:lang w:val="nl-BE"/>
        </w:rPr>
        <w:t xml:space="preserve"> verbod </w:t>
      </w:r>
      <w:r w:rsidR="00335135">
        <w:rPr>
          <w:lang w:val="nl-BE"/>
        </w:rPr>
        <w:t>‘</w:t>
      </w:r>
      <w:r w:rsidR="002615A3" w:rsidRPr="0069784D">
        <w:rPr>
          <w:lang w:val="nl-BE"/>
        </w:rPr>
        <w:t>enige activiteit uit te oefenen gelijkaardig aan die naar aanleiding waarvan de veroordeling werd uitgesproken</w:t>
      </w:r>
      <w:r w:rsidR="008C465C" w:rsidRPr="0069784D">
        <w:rPr>
          <w:lang w:val="nl-BE"/>
        </w:rPr>
        <w:t>’</w:t>
      </w:r>
      <w:r w:rsidR="002615A3" w:rsidRPr="0069784D">
        <w:rPr>
          <w:lang w:val="nl-BE"/>
        </w:rPr>
        <w:t xml:space="preserve">. Dit impliceert namelijk dat </w:t>
      </w:r>
      <w:r w:rsidR="00C64D83" w:rsidRPr="00845DD8">
        <w:rPr>
          <w:lang w:val="nl-BE"/>
        </w:rPr>
        <w:t>de inrichting verder mag uitgebaat w</w:t>
      </w:r>
      <w:r w:rsidR="00C64D83">
        <w:rPr>
          <w:lang w:val="nl-BE"/>
        </w:rPr>
        <w:t>orden, indien de bestemming verandert</w:t>
      </w:r>
      <w:r w:rsidR="002615A3" w:rsidRPr="0069784D">
        <w:rPr>
          <w:lang w:val="nl-BE"/>
        </w:rPr>
        <w:t xml:space="preserve">, bijvoorbeeld een café dat </w:t>
      </w:r>
      <w:r w:rsidR="008C465C" w:rsidRPr="0069784D">
        <w:rPr>
          <w:lang w:val="nl-BE"/>
        </w:rPr>
        <w:t>voortaan</w:t>
      </w:r>
      <w:r w:rsidR="00933C62" w:rsidRPr="0069784D">
        <w:rPr>
          <w:lang w:val="nl-BE"/>
        </w:rPr>
        <w:t xml:space="preserve"> </w:t>
      </w:r>
      <w:r w:rsidR="002615A3" w:rsidRPr="0069784D">
        <w:rPr>
          <w:lang w:val="nl-BE"/>
        </w:rPr>
        <w:t xml:space="preserve">als berging gebruikt wordt </w:t>
      </w:r>
      <w:r w:rsidR="00384723" w:rsidRPr="0069784D">
        <w:rPr>
          <w:lang w:val="nl-BE"/>
        </w:rPr>
        <w:t>(</w:t>
      </w:r>
      <w:r w:rsidR="002615A3" w:rsidRPr="0069784D">
        <w:rPr>
          <w:lang w:val="nl-BE"/>
        </w:rPr>
        <w:t>zie memorie van toelichting, pagina</w:t>
      </w:r>
      <w:r w:rsidR="00384723" w:rsidRPr="0069784D">
        <w:rPr>
          <w:lang w:val="nl-BE"/>
        </w:rPr>
        <w:t xml:space="preserve"> 84)</w:t>
      </w:r>
      <w:r w:rsidR="002615A3" w:rsidRPr="0069784D">
        <w:rPr>
          <w:lang w:val="nl-BE"/>
        </w:rPr>
        <w:t xml:space="preserve">. De wetgever heeft hierbij de intentie om het eigendomsrecht niet meer dan strikt nodig in te perken. </w:t>
      </w:r>
    </w:p>
    <w:p w14:paraId="4AECDEB7" w14:textId="2BC02CC8" w:rsidR="0002514B" w:rsidRDefault="0002514B" w:rsidP="009C15CF">
      <w:pPr>
        <w:ind w:left="360"/>
        <w:jc w:val="both"/>
        <w:rPr>
          <w:rFonts w:eastAsia="Times New Roman" w:cstheme="minorHAnsi"/>
          <w:bCs/>
          <w:lang w:val="nl-BE" w:eastAsia="en-GB"/>
        </w:rPr>
      </w:pPr>
    </w:p>
    <w:p w14:paraId="0682AC08" w14:textId="5E0E6B4C" w:rsidR="003C2CA9" w:rsidRDefault="003C2CA9" w:rsidP="009C15CF">
      <w:pPr>
        <w:ind w:left="360"/>
        <w:jc w:val="both"/>
        <w:rPr>
          <w:rFonts w:eastAsia="Times New Roman" w:cstheme="minorHAnsi"/>
          <w:bCs/>
          <w:lang w:val="nl-BE" w:eastAsia="en-GB"/>
        </w:rPr>
      </w:pPr>
    </w:p>
    <w:p w14:paraId="6A372BE2" w14:textId="77777777" w:rsidR="003C2CA9" w:rsidRPr="0069784D" w:rsidRDefault="003C2CA9" w:rsidP="009C15CF">
      <w:pPr>
        <w:ind w:left="360"/>
        <w:jc w:val="both"/>
        <w:rPr>
          <w:rFonts w:eastAsia="Times New Roman" w:cstheme="minorHAnsi"/>
          <w:bCs/>
          <w:lang w:val="nl-BE" w:eastAsia="en-GB"/>
        </w:rPr>
      </w:pPr>
    </w:p>
    <w:p w14:paraId="5202720C" w14:textId="443485D4" w:rsidR="00062910" w:rsidRPr="0069784D" w:rsidRDefault="00062910" w:rsidP="009C15CF">
      <w:pPr>
        <w:pStyle w:val="Heading3"/>
        <w:jc w:val="both"/>
        <w:rPr>
          <w:rFonts w:asciiTheme="minorHAnsi" w:hAnsiTheme="minorHAnsi" w:cstheme="minorHAnsi"/>
          <w:color w:val="auto"/>
          <w:sz w:val="28"/>
          <w:szCs w:val="28"/>
          <w:lang w:val="nl-BE"/>
        </w:rPr>
      </w:pPr>
      <w:bookmarkStart w:id="37" w:name="_Toc104923486"/>
      <w:r w:rsidRPr="0069784D">
        <w:rPr>
          <w:rFonts w:asciiTheme="minorHAnsi" w:hAnsiTheme="minorHAnsi"/>
          <w:color w:val="auto"/>
          <w:sz w:val="28"/>
          <w:lang w:val="nl-BE"/>
        </w:rPr>
        <w:lastRenderedPageBreak/>
        <w:t>Artikel 417/58 - Verblijfs-, plaats- of contactverbod</w:t>
      </w:r>
      <w:bookmarkEnd w:id="37"/>
    </w:p>
    <w:p w14:paraId="42DE13A5" w14:textId="77777777" w:rsidR="00062910" w:rsidRPr="0069784D" w:rsidRDefault="00062910" w:rsidP="009C15CF">
      <w:pPr>
        <w:jc w:val="both"/>
        <w:rPr>
          <w:lang w:val="nl-BE"/>
        </w:rPr>
      </w:pPr>
    </w:p>
    <w:tbl>
      <w:tblPr>
        <w:tblStyle w:val="TableGrid"/>
        <w:tblW w:w="0" w:type="auto"/>
        <w:tblLook w:val="04A0" w:firstRow="1" w:lastRow="0" w:firstColumn="1" w:lastColumn="0" w:noHBand="0" w:noVBand="1"/>
      </w:tblPr>
      <w:tblGrid>
        <w:gridCol w:w="4508"/>
        <w:gridCol w:w="4508"/>
      </w:tblGrid>
      <w:tr w:rsidR="00062910" w:rsidRPr="0069784D" w14:paraId="76EACDEC" w14:textId="77777777" w:rsidTr="00957384">
        <w:tc>
          <w:tcPr>
            <w:tcW w:w="4508" w:type="dxa"/>
            <w:tcBorders>
              <w:top w:val="single" w:sz="4" w:space="0" w:color="auto"/>
              <w:left w:val="single" w:sz="4" w:space="0" w:color="auto"/>
              <w:bottom w:val="single" w:sz="4" w:space="0" w:color="auto"/>
              <w:right w:val="single" w:sz="4" w:space="0" w:color="auto"/>
            </w:tcBorders>
            <w:hideMark/>
          </w:tcPr>
          <w:p w14:paraId="42B60B9C" w14:textId="31592C90" w:rsidR="00062910" w:rsidRPr="0069784D" w:rsidRDefault="00062910" w:rsidP="009C15CF">
            <w:pPr>
              <w:jc w:val="both"/>
              <w:rPr>
                <w:lang w:val="nl-BE"/>
              </w:rPr>
            </w:pPr>
            <w:r w:rsidRPr="0069784D">
              <w:rPr>
                <w:lang w:val="nl-BE"/>
              </w:rPr>
              <w:t>Vroegere bepaling</w:t>
            </w:r>
            <w:r w:rsidR="00411A39" w:rsidRPr="0069784D">
              <w:rPr>
                <w:lang w:val="nl-BE"/>
              </w:rPr>
              <w:t>en</w:t>
            </w:r>
            <w:r w:rsidRPr="0069784D">
              <w:rPr>
                <w:lang w:val="nl-BE"/>
              </w:rPr>
              <w:t xml:space="preserve">: </w:t>
            </w:r>
            <w:r w:rsidR="000634A4" w:rsidRPr="0069784D">
              <w:rPr>
                <w:lang w:val="nl-BE"/>
              </w:rPr>
              <w:t>a</w:t>
            </w:r>
            <w:r w:rsidRPr="0069784D">
              <w:rPr>
                <w:lang w:val="nl-BE"/>
              </w:rPr>
              <w:t>rtikelen 382bis,</w:t>
            </w:r>
            <w:r w:rsidR="00411A39" w:rsidRPr="0069784D">
              <w:rPr>
                <w:lang w:val="nl-BE"/>
              </w:rPr>
              <w:t xml:space="preserve"> </w:t>
            </w:r>
            <w:r w:rsidRPr="0069784D">
              <w:rPr>
                <w:lang w:val="nl-BE"/>
              </w:rPr>
              <w:t xml:space="preserve">4° en 389 </w:t>
            </w:r>
          </w:p>
          <w:p w14:paraId="5CA48040" w14:textId="1F3B5845" w:rsidR="000634A4" w:rsidRPr="0069784D" w:rsidRDefault="000634A4" w:rsidP="009C15CF">
            <w:pPr>
              <w:jc w:val="both"/>
              <w:rPr>
                <w:lang w:val="nl-BE"/>
              </w:rPr>
            </w:pPr>
          </w:p>
        </w:tc>
        <w:tc>
          <w:tcPr>
            <w:tcW w:w="4508" w:type="dxa"/>
            <w:tcBorders>
              <w:top w:val="single" w:sz="4" w:space="0" w:color="auto"/>
              <w:left w:val="single" w:sz="4" w:space="0" w:color="auto"/>
              <w:bottom w:val="single" w:sz="4" w:space="0" w:color="auto"/>
              <w:right w:val="single" w:sz="4" w:space="0" w:color="auto"/>
            </w:tcBorders>
            <w:hideMark/>
          </w:tcPr>
          <w:p w14:paraId="2DD8F2E4" w14:textId="301E8E06" w:rsidR="00062910" w:rsidRPr="0069784D" w:rsidRDefault="00062910" w:rsidP="009C15CF">
            <w:pPr>
              <w:jc w:val="both"/>
            </w:pPr>
            <w:r w:rsidRPr="0069784D">
              <w:t xml:space="preserve">Nieuwe bepaling: </w:t>
            </w:r>
            <w:r w:rsidR="000634A4" w:rsidRPr="0069784D">
              <w:t>a</w:t>
            </w:r>
            <w:r w:rsidRPr="0069784D">
              <w:t>rtikel 417/58</w:t>
            </w:r>
          </w:p>
        </w:tc>
      </w:tr>
      <w:tr w:rsidR="00062910" w:rsidRPr="001C6BF9" w14:paraId="0E2736B7" w14:textId="77777777" w:rsidTr="00957384">
        <w:tc>
          <w:tcPr>
            <w:tcW w:w="4508" w:type="dxa"/>
            <w:tcBorders>
              <w:top w:val="single" w:sz="4" w:space="0" w:color="auto"/>
              <w:left w:val="single" w:sz="4" w:space="0" w:color="auto"/>
              <w:bottom w:val="single" w:sz="4" w:space="0" w:color="auto"/>
              <w:right w:val="single" w:sz="4" w:space="0" w:color="auto"/>
            </w:tcBorders>
          </w:tcPr>
          <w:p w14:paraId="5CD4596B" w14:textId="77777777" w:rsidR="000634A4" w:rsidRPr="0069784D" w:rsidRDefault="00062910" w:rsidP="009C15CF">
            <w:pPr>
              <w:jc w:val="both"/>
              <w:rPr>
                <w:lang w:val="nl-BE"/>
              </w:rPr>
            </w:pPr>
            <w:r w:rsidRPr="0069784D">
              <w:rPr>
                <w:i/>
                <w:iCs/>
                <w:lang w:val="nl-BE"/>
              </w:rPr>
              <w:t>Onverminderd de toepassing van artikel 382 kan elke veroordeling wegens feiten bedoeld in de artikelen 371/1 tot 377, 377quater, 379 tot 380ter, 381 en 383 tot 387, gepleegd op de persoon van een minderjarige of met zijn deelneming, de ontzetting meebrengen van het recht om, voor een termijn van een jaar tot twintig jaar:</w:t>
            </w:r>
            <w:r w:rsidRPr="0069784D">
              <w:rPr>
                <w:lang w:val="nl-BE"/>
              </w:rPr>
              <w:t xml:space="preserve"> [...] </w:t>
            </w:r>
          </w:p>
          <w:p w14:paraId="5083D18D" w14:textId="77777777" w:rsidR="000634A4" w:rsidRPr="0069784D" w:rsidRDefault="000634A4" w:rsidP="009C15CF">
            <w:pPr>
              <w:jc w:val="both"/>
              <w:rPr>
                <w:lang w:val="nl-BE"/>
              </w:rPr>
            </w:pPr>
          </w:p>
          <w:p w14:paraId="28EAC04F" w14:textId="58DEF00F" w:rsidR="00062910" w:rsidRPr="0069784D" w:rsidRDefault="00062910" w:rsidP="009C15CF">
            <w:pPr>
              <w:jc w:val="both"/>
              <w:rPr>
                <w:lang w:val="nl-BE"/>
              </w:rPr>
            </w:pPr>
            <w:r w:rsidRPr="0069784D">
              <w:rPr>
                <w:lang w:val="nl-BE"/>
              </w:rPr>
              <w:t>[</w:t>
            </w:r>
            <w:hyperlink r:id="rId12" w:anchor="t" w:tooltip="&lt;L 2012-12-14/52, art. 5, 092; En vigueur : 02-05-2013&gt;" w:history="1">
              <w:r w:rsidRPr="0069784D">
                <w:rPr>
                  <w:rStyle w:val="Hyperlink"/>
                  <w:color w:val="auto"/>
                  <w:vertAlign w:val="superscript"/>
                  <w:lang w:val="nl-BE"/>
                </w:rPr>
                <w:t>1</w:t>
              </w:r>
            </w:hyperlink>
            <w:r w:rsidRPr="0069784D">
              <w:rPr>
                <w:i/>
                <w:iCs/>
                <w:lang w:val="nl-BE"/>
              </w:rPr>
              <w:t> 4° te wonen, te verblijven of zich op te houden in de door de bevoegde rechter bepaalde aangewezen zone.</w:t>
            </w:r>
            <w:r w:rsidRPr="0069784D">
              <w:rPr>
                <w:lang w:val="nl-BE"/>
              </w:rPr>
              <w:t xml:space="preserve"> </w:t>
            </w:r>
          </w:p>
          <w:p w14:paraId="50E06DFD" w14:textId="77777777" w:rsidR="00062910" w:rsidRPr="0069784D" w:rsidRDefault="00062910" w:rsidP="009C15CF">
            <w:pPr>
              <w:jc w:val="both"/>
              <w:rPr>
                <w:lang w:val="nl-BE"/>
              </w:rPr>
            </w:pPr>
          </w:p>
          <w:p w14:paraId="4CE87434" w14:textId="77777777" w:rsidR="00062910" w:rsidRPr="0069784D" w:rsidRDefault="00062910" w:rsidP="009C15CF">
            <w:pPr>
              <w:jc w:val="both"/>
              <w:rPr>
                <w:lang w:val="nl-BE"/>
              </w:rPr>
            </w:pPr>
          </w:p>
          <w:p w14:paraId="0CBEBAF2" w14:textId="77777777" w:rsidR="00062910" w:rsidRPr="0069784D" w:rsidRDefault="00062910" w:rsidP="009C15CF">
            <w:pPr>
              <w:jc w:val="both"/>
              <w:rPr>
                <w:lang w:val="nl-BE"/>
              </w:rPr>
            </w:pPr>
            <w:r w:rsidRPr="0069784D">
              <w:rPr>
                <w:i/>
                <w:iCs/>
                <w:lang w:val="nl-BE"/>
              </w:rPr>
              <w:t>De oplegging van die maatregel moet met bijzondere redenen worden omkleed en rekening houden met de ernst van de feiten en met de reclasseringsmogelijkheden voor de veroordeelde.</w:t>
            </w:r>
          </w:p>
          <w:p w14:paraId="76A247C8" w14:textId="77777777" w:rsidR="000634A4" w:rsidRPr="0069784D" w:rsidRDefault="000634A4" w:rsidP="009C15CF">
            <w:pPr>
              <w:jc w:val="both"/>
              <w:rPr>
                <w:i/>
                <w:iCs/>
                <w:lang w:val="nl-BE"/>
              </w:rPr>
            </w:pPr>
          </w:p>
          <w:p w14:paraId="0C169768" w14:textId="1BBE11F3" w:rsidR="00062910" w:rsidRPr="0069784D" w:rsidRDefault="000634A4" w:rsidP="009C15CF">
            <w:pPr>
              <w:jc w:val="both"/>
              <w:rPr>
                <w:lang w:val="nl-BE"/>
              </w:rPr>
            </w:pPr>
            <w:r w:rsidRPr="0069784D">
              <w:rPr>
                <w:i/>
                <w:iCs/>
                <w:lang w:val="nl-BE"/>
              </w:rPr>
              <w:t>A</w:t>
            </w:r>
            <w:r w:rsidR="00062910" w:rsidRPr="0069784D">
              <w:rPr>
                <w:i/>
                <w:iCs/>
                <w:lang w:val="nl-BE"/>
              </w:rPr>
              <w:t>rtikel 389 is van toepassing op deze bepaling. [...] [(= [Art. 389.] [vanaf] de dag van de veroordeling met uitstel of [...] [vanaf] de dag dat de veroordeelde zijn gevangenisstraf heeft ondergaan of dat zijn straf verjaard is ingeval hiervoor geen uitstel is verleend en, in geval van vervroegde invrijheidstelling, [...] [vanaf] de dag van zijn invrijheidstelling voorzover deze niet herroepen wordt.)]</w:t>
            </w:r>
            <w:r w:rsidR="00062910" w:rsidRPr="0069784D">
              <w:rPr>
                <w:lang w:val="nl-BE"/>
              </w:rPr>
              <w:t xml:space="preserve"> </w:t>
            </w:r>
          </w:p>
        </w:tc>
        <w:tc>
          <w:tcPr>
            <w:tcW w:w="4508" w:type="dxa"/>
            <w:tcBorders>
              <w:top w:val="single" w:sz="4" w:space="0" w:color="auto"/>
              <w:left w:val="single" w:sz="4" w:space="0" w:color="auto"/>
              <w:bottom w:val="single" w:sz="4" w:space="0" w:color="auto"/>
              <w:right w:val="single" w:sz="4" w:space="0" w:color="auto"/>
            </w:tcBorders>
          </w:tcPr>
          <w:p w14:paraId="59BB1AD1" w14:textId="015AC8DB" w:rsidR="00062910" w:rsidRPr="0069784D" w:rsidRDefault="00062910" w:rsidP="009C15CF">
            <w:pPr>
              <w:jc w:val="both"/>
              <w:rPr>
                <w:lang w:val="nl-BE"/>
              </w:rPr>
            </w:pPr>
            <w:r w:rsidRPr="0069784D">
              <w:rPr>
                <w:i/>
                <w:iCs/>
                <w:lang w:val="nl-BE"/>
              </w:rPr>
              <w:t>Onverminderd andere wettelijke bepalingen, kan de rechter in de in dit hoofdstuk omschreven gevallen de veroordeelde, voor een termijn van een jaar tot ten hoogste twintig jaar, de ontzetting opleggen van het recht</w:t>
            </w:r>
            <w:r w:rsidRPr="0069784D">
              <w:rPr>
                <w:lang w:val="nl-BE"/>
              </w:rPr>
              <w:t xml:space="preserve">  </w:t>
            </w:r>
          </w:p>
          <w:p w14:paraId="7A0099F1" w14:textId="77777777" w:rsidR="00062910" w:rsidRPr="0069784D" w:rsidRDefault="00062910" w:rsidP="009C15CF">
            <w:pPr>
              <w:jc w:val="both"/>
              <w:rPr>
                <w:lang w:val="nl-BE"/>
              </w:rPr>
            </w:pPr>
          </w:p>
          <w:p w14:paraId="041EA079" w14:textId="77777777" w:rsidR="00062910" w:rsidRPr="0069784D" w:rsidRDefault="00062910" w:rsidP="009C15CF">
            <w:pPr>
              <w:jc w:val="both"/>
              <w:rPr>
                <w:lang w:val="nl-BE"/>
              </w:rPr>
            </w:pPr>
          </w:p>
          <w:p w14:paraId="25FF076B" w14:textId="77777777" w:rsidR="00062910" w:rsidRPr="0069784D" w:rsidRDefault="00062910" w:rsidP="009C15CF">
            <w:pPr>
              <w:jc w:val="both"/>
              <w:rPr>
                <w:lang w:val="nl-BE"/>
              </w:rPr>
            </w:pPr>
          </w:p>
          <w:p w14:paraId="43CC55F5" w14:textId="77777777" w:rsidR="00062910" w:rsidRPr="0069784D" w:rsidRDefault="00062910" w:rsidP="009C15CF">
            <w:pPr>
              <w:jc w:val="both"/>
              <w:rPr>
                <w:lang w:val="nl-BE"/>
              </w:rPr>
            </w:pPr>
          </w:p>
          <w:p w14:paraId="110A79CA" w14:textId="2481D718" w:rsidR="00062910" w:rsidRPr="0069784D" w:rsidRDefault="00062910" w:rsidP="009C15CF">
            <w:pPr>
              <w:jc w:val="both"/>
              <w:rPr>
                <w:i/>
                <w:iCs/>
                <w:lang w:val="nl-BE"/>
              </w:rPr>
            </w:pPr>
            <w:r w:rsidRPr="0069784D">
              <w:rPr>
                <w:i/>
                <w:iCs/>
                <w:lang w:val="nl-BE"/>
              </w:rPr>
              <w:t>te wonen, te verblijven of zich op te houden in het door de rechter bepaalde gebied of contact te hebben met de personen die hij individueel aanwijst.</w:t>
            </w:r>
          </w:p>
          <w:p w14:paraId="242575F5" w14:textId="77777777" w:rsidR="000634A4" w:rsidRPr="0069784D" w:rsidRDefault="000634A4" w:rsidP="009C15CF">
            <w:pPr>
              <w:jc w:val="both"/>
              <w:rPr>
                <w:lang w:val="nl-BE"/>
              </w:rPr>
            </w:pPr>
          </w:p>
          <w:p w14:paraId="59EEEF6E" w14:textId="77777777" w:rsidR="00062910" w:rsidRPr="0069784D" w:rsidRDefault="00062910" w:rsidP="009C15CF">
            <w:pPr>
              <w:jc w:val="both"/>
              <w:rPr>
                <w:lang w:val="nl-BE"/>
              </w:rPr>
            </w:pPr>
            <w:r w:rsidRPr="0069784D">
              <w:rPr>
                <w:i/>
                <w:iCs/>
                <w:lang w:val="nl-BE"/>
              </w:rPr>
              <w:t>De oplegging van deze straf moet met bijzondere redenen worden omkleed en rekening houden met de ernst van de feiten en met de reclasseringsmogelijkheden voor de veroordeelde.</w:t>
            </w:r>
          </w:p>
          <w:p w14:paraId="33770786" w14:textId="77777777" w:rsidR="000634A4" w:rsidRPr="0069784D" w:rsidRDefault="000634A4" w:rsidP="009C15CF">
            <w:pPr>
              <w:jc w:val="both"/>
              <w:rPr>
                <w:lang w:val="nl-BE"/>
              </w:rPr>
            </w:pPr>
          </w:p>
          <w:p w14:paraId="26F36A50" w14:textId="0FDF96E1" w:rsidR="00062910" w:rsidRPr="0069784D" w:rsidRDefault="00062910" w:rsidP="009C15CF">
            <w:pPr>
              <w:jc w:val="both"/>
              <w:rPr>
                <w:i/>
                <w:iCs/>
                <w:lang w:val="nl-BE"/>
              </w:rPr>
            </w:pPr>
            <w:r w:rsidRPr="0069784D">
              <w:rPr>
                <w:i/>
                <w:iCs/>
                <w:lang w:val="nl-BE"/>
              </w:rPr>
              <w:t xml:space="preserve">Het </w:t>
            </w:r>
            <w:r w:rsidR="00C64D83" w:rsidRPr="00335135">
              <w:rPr>
                <w:i/>
                <w:iCs/>
                <w:lang w:val="nl-BE"/>
              </w:rPr>
              <w:t>verblijfs</w:t>
            </w:r>
            <w:r w:rsidRPr="0069784D">
              <w:rPr>
                <w:i/>
                <w:iCs/>
                <w:lang w:val="nl-BE"/>
              </w:rPr>
              <w:t>, plaats- of contactverbod gaat in vanaf de dag waarop de veroordeling in kracht van gewijsde is getreden.</w:t>
            </w:r>
            <w:r w:rsidRPr="0069784D">
              <w:rPr>
                <w:lang w:val="nl-BE"/>
              </w:rPr>
              <w:t xml:space="preserve"> </w:t>
            </w:r>
            <w:r w:rsidR="00C64D83" w:rsidRPr="00D36A7C">
              <w:rPr>
                <w:lang w:val="nl-BE"/>
              </w:rPr>
              <w:t>De termijn wordt evenwel verlengd met de duur van de periode waarin de vrijheidsstraf wordt uitgevoerd, met uitzondering van de periode van vervroegde invrijheidstelling</w:t>
            </w:r>
            <w:r w:rsidR="00C64D83">
              <w:rPr>
                <w:lang w:val="nl-BE"/>
              </w:rPr>
              <w:t>.</w:t>
            </w:r>
            <w:r w:rsidR="00C64D83" w:rsidRPr="0069784D">
              <w:rPr>
                <w:i/>
                <w:iCs/>
                <w:lang w:val="nl-BE"/>
              </w:rPr>
              <w:t xml:space="preserve"> </w:t>
            </w:r>
          </w:p>
          <w:p w14:paraId="63425527" w14:textId="77777777" w:rsidR="00062910" w:rsidRPr="0069784D" w:rsidRDefault="00062910" w:rsidP="009C15CF">
            <w:pPr>
              <w:jc w:val="both"/>
              <w:rPr>
                <w:lang w:val="nl-BE"/>
              </w:rPr>
            </w:pPr>
          </w:p>
          <w:p w14:paraId="02C9AE0F" w14:textId="1DEA66FC" w:rsidR="00062910" w:rsidRPr="0069784D" w:rsidRDefault="00062910" w:rsidP="009C15CF">
            <w:pPr>
              <w:jc w:val="both"/>
              <w:rPr>
                <w:lang w:val="nl-BE"/>
              </w:rPr>
            </w:pPr>
            <w:r w:rsidRPr="0069784D">
              <w:rPr>
                <w:i/>
                <w:iCs/>
                <w:lang w:val="nl-BE"/>
              </w:rPr>
              <w:t xml:space="preserve">Indien daartoe grond bestaat, kan de strafuitvoeringsrechtbank beslissen een in kracht van gewijsde getreden veroordeling waarbij een </w:t>
            </w:r>
            <w:r w:rsidR="00C64D83" w:rsidRPr="00335135">
              <w:rPr>
                <w:i/>
                <w:iCs/>
                <w:lang w:val="nl-NL"/>
              </w:rPr>
              <w:t>verblijfs</w:t>
            </w:r>
            <w:r w:rsidRPr="00335135">
              <w:rPr>
                <w:i/>
                <w:iCs/>
                <w:lang w:val="nl-BE"/>
              </w:rPr>
              <w:t>,</w:t>
            </w:r>
            <w:r w:rsidRPr="0069784D">
              <w:rPr>
                <w:i/>
                <w:iCs/>
                <w:lang w:val="nl-BE"/>
              </w:rPr>
              <w:t xml:space="preserve"> plaats- of contactverbod is opgelegd, te wijzigen teneinde de duur of de omvang van het verbod te beperken, de nadere regels of de voorwaarden ervan aan te passen, het op te schorten of het te beëindigen.</w:t>
            </w:r>
          </w:p>
        </w:tc>
      </w:tr>
    </w:tbl>
    <w:p w14:paraId="6E8D4DD5" w14:textId="77777777" w:rsidR="00062910" w:rsidRPr="0069784D" w:rsidRDefault="00062910" w:rsidP="009C15CF">
      <w:pPr>
        <w:jc w:val="both"/>
        <w:rPr>
          <w:lang w:val="nl-BE"/>
        </w:rPr>
      </w:pPr>
    </w:p>
    <w:p w14:paraId="3DEFDB84" w14:textId="77307569" w:rsidR="00062910" w:rsidRPr="0069784D" w:rsidRDefault="000634A4" w:rsidP="009C15CF">
      <w:pPr>
        <w:jc w:val="both"/>
        <w:rPr>
          <w:lang w:val="nl-BE"/>
        </w:rPr>
      </w:pPr>
      <w:r w:rsidRPr="0069784D">
        <w:rPr>
          <w:lang w:val="nl-BE"/>
        </w:rPr>
        <w:t>V</w:t>
      </w:r>
      <w:r w:rsidR="00062910" w:rsidRPr="0069784D">
        <w:rPr>
          <w:lang w:val="nl-BE"/>
        </w:rPr>
        <w:t xml:space="preserve">olgende verschillen </w:t>
      </w:r>
      <w:r w:rsidRPr="0069784D">
        <w:rPr>
          <w:lang w:val="nl-BE"/>
        </w:rPr>
        <w:t xml:space="preserve">kunnen </w:t>
      </w:r>
      <w:r w:rsidR="00062910" w:rsidRPr="0069784D">
        <w:rPr>
          <w:lang w:val="nl-BE"/>
        </w:rPr>
        <w:t xml:space="preserve">worden vastgesteld: </w:t>
      </w:r>
    </w:p>
    <w:p w14:paraId="35C5299A" w14:textId="0197AACF" w:rsidR="00062910" w:rsidRPr="0069784D" w:rsidRDefault="00062910" w:rsidP="009C15CF">
      <w:pPr>
        <w:pStyle w:val="ListParagraph"/>
        <w:numPr>
          <w:ilvl w:val="0"/>
          <w:numId w:val="9"/>
        </w:numPr>
        <w:spacing w:line="256" w:lineRule="auto"/>
        <w:jc w:val="both"/>
        <w:rPr>
          <w:lang w:val="nl-BE"/>
        </w:rPr>
      </w:pPr>
      <w:r w:rsidRPr="0069784D">
        <w:rPr>
          <w:lang w:val="nl-BE"/>
        </w:rPr>
        <w:t xml:space="preserve">De vroegere wet was </w:t>
      </w:r>
      <w:r w:rsidR="00411A39" w:rsidRPr="0069784D">
        <w:rPr>
          <w:lang w:val="nl-BE"/>
        </w:rPr>
        <w:t>uitsluitend</w:t>
      </w:r>
      <w:r w:rsidRPr="0069784D">
        <w:rPr>
          <w:lang w:val="nl-BE"/>
        </w:rPr>
        <w:t xml:space="preserve"> van toepassing op </w:t>
      </w:r>
      <w:r w:rsidR="007D167A" w:rsidRPr="00845DD8">
        <w:rPr>
          <w:lang w:val="nl-BE"/>
        </w:rPr>
        <w:t>feiten ten</w:t>
      </w:r>
      <w:r w:rsidRPr="0069784D">
        <w:rPr>
          <w:lang w:val="nl-BE"/>
        </w:rPr>
        <w:t xml:space="preserve"> aanzien van minderjarigen. In de nieuwe wet wordt er geen onderscheid gemaakt tussen minder- en meerderjarigen, behalve </w:t>
      </w:r>
      <w:r w:rsidR="000634A4" w:rsidRPr="0069784D">
        <w:rPr>
          <w:lang w:val="nl-BE"/>
        </w:rPr>
        <w:t xml:space="preserve">voor </w:t>
      </w:r>
      <w:r w:rsidR="00411A39" w:rsidRPr="0069784D">
        <w:rPr>
          <w:lang w:val="nl-BE"/>
        </w:rPr>
        <w:t xml:space="preserve">het </w:t>
      </w:r>
      <w:r w:rsidR="000634A4" w:rsidRPr="0069784D">
        <w:rPr>
          <w:lang w:val="nl-BE"/>
        </w:rPr>
        <w:t>misdrij</w:t>
      </w:r>
      <w:r w:rsidR="00411A39" w:rsidRPr="0069784D">
        <w:rPr>
          <w:lang w:val="nl-BE"/>
        </w:rPr>
        <w:t>f ‘</w:t>
      </w:r>
      <w:r w:rsidRPr="0069784D">
        <w:rPr>
          <w:lang w:val="nl-BE"/>
        </w:rPr>
        <w:t>pooierschap</w:t>
      </w:r>
      <w:r w:rsidR="00411A39" w:rsidRPr="0069784D">
        <w:rPr>
          <w:lang w:val="nl-BE"/>
        </w:rPr>
        <w:t>’</w:t>
      </w:r>
      <w:r w:rsidR="000634A4" w:rsidRPr="0069784D">
        <w:rPr>
          <w:lang w:val="nl-BE"/>
        </w:rPr>
        <w:t xml:space="preserve">, </w:t>
      </w:r>
      <w:r w:rsidR="00411A39" w:rsidRPr="0069784D">
        <w:rPr>
          <w:lang w:val="nl-BE"/>
        </w:rPr>
        <w:t>dat in dit hoofdstuk</w:t>
      </w:r>
      <w:r w:rsidR="000634A4" w:rsidRPr="0069784D">
        <w:rPr>
          <w:lang w:val="nl-BE"/>
        </w:rPr>
        <w:t xml:space="preserve"> enkel op minderjarigen </w:t>
      </w:r>
      <w:r w:rsidR="000634A4" w:rsidRPr="0069784D">
        <w:rPr>
          <w:lang w:val="nl-BE"/>
        </w:rPr>
        <w:lastRenderedPageBreak/>
        <w:t>betrekking heeft, terwijl pooierschap</w:t>
      </w:r>
      <w:r w:rsidRPr="0069784D">
        <w:rPr>
          <w:lang w:val="nl-BE"/>
        </w:rPr>
        <w:t xml:space="preserve"> van meerderjarigen in een ander hoofdstuk</w:t>
      </w:r>
      <w:r w:rsidR="000634A4" w:rsidRPr="0069784D">
        <w:rPr>
          <w:lang w:val="nl-BE"/>
        </w:rPr>
        <w:t xml:space="preserve"> aan bod komt.</w:t>
      </w:r>
      <w:r w:rsidRPr="0069784D">
        <w:rPr>
          <w:lang w:val="nl-BE"/>
        </w:rPr>
        <w:t xml:space="preserve"> </w:t>
      </w:r>
    </w:p>
    <w:p w14:paraId="67D9B9D5" w14:textId="7410982D" w:rsidR="00062910" w:rsidRPr="0069784D" w:rsidRDefault="00062910" w:rsidP="009C15CF">
      <w:pPr>
        <w:pStyle w:val="ListParagraph"/>
        <w:numPr>
          <w:ilvl w:val="0"/>
          <w:numId w:val="9"/>
        </w:numPr>
        <w:spacing w:line="256" w:lineRule="auto"/>
        <w:jc w:val="both"/>
        <w:rPr>
          <w:lang w:val="nl-BE"/>
        </w:rPr>
      </w:pPr>
      <w:r w:rsidRPr="0069784D">
        <w:rPr>
          <w:lang w:val="nl-BE"/>
        </w:rPr>
        <w:t xml:space="preserve">De rechter </w:t>
      </w:r>
      <w:r w:rsidR="00B357B5">
        <w:rPr>
          <w:lang w:val="nl-BE"/>
        </w:rPr>
        <w:t>heeft</w:t>
      </w:r>
      <w:r w:rsidRPr="0069784D">
        <w:rPr>
          <w:lang w:val="nl-BE"/>
        </w:rPr>
        <w:t xml:space="preserve"> in dit geval </w:t>
      </w:r>
      <w:r w:rsidR="007641DA" w:rsidRPr="0069784D">
        <w:rPr>
          <w:lang w:val="nl-BE"/>
        </w:rPr>
        <w:t>voorta</w:t>
      </w:r>
      <w:r w:rsidR="00411A39" w:rsidRPr="0069784D">
        <w:rPr>
          <w:lang w:val="nl-BE"/>
        </w:rPr>
        <w:t>a</w:t>
      </w:r>
      <w:r w:rsidR="007641DA" w:rsidRPr="0069784D">
        <w:rPr>
          <w:lang w:val="nl-BE"/>
        </w:rPr>
        <w:t xml:space="preserve">n </w:t>
      </w:r>
      <w:r w:rsidRPr="0069784D">
        <w:rPr>
          <w:lang w:val="nl-BE"/>
        </w:rPr>
        <w:t>ook</w:t>
      </w:r>
      <w:r w:rsidR="007D167A" w:rsidRPr="007D167A">
        <w:rPr>
          <w:lang w:val="nl-BE"/>
        </w:rPr>
        <w:t xml:space="preserve"> </w:t>
      </w:r>
      <w:r w:rsidR="007D167A" w:rsidRPr="00845DD8">
        <w:rPr>
          <w:lang w:val="nl-BE"/>
        </w:rPr>
        <w:t>de m</w:t>
      </w:r>
      <w:r w:rsidR="007D167A">
        <w:rPr>
          <w:lang w:val="nl-BE"/>
        </w:rPr>
        <w:t>ogelijkheid</w:t>
      </w:r>
      <w:r w:rsidRPr="0069784D">
        <w:rPr>
          <w:lang w:val="nl-BE"/>
        </w:rPr>
        <w:t xml:space="preserve"> </w:t>
      </w:r>
      <w:r w:rsidR="007D167A" w:rsidRPr="007D167A">
        <w:rPr>
          <w:b/>
          <w:bCs/>
          <w:lang w:val="nl-BE"/>
        </w:rPr>
        <w:t xml:space="preserve">om een contactverbod op te leggen </w:t>
      </w:r>
      <w:r w:rsidRPr="0069784D">
        <w:rPr>
          <w:lang w:val="nl-BE"/>
        </w:rPr>
        <w:t>met de personen die hij individueel aanwijst</w:t>
      </w:r>
      <w:r w:rsidR="007641DA" w:rsidRPr="0069784D">
        <w:rPr>
          <w:lang w:val="nl-BE"/>
        </w:rPr>
        <w:t>.</w:t>
      </w:r>
    </w:p>
    <w:p w14:paraId="26BB05C2" w14:textId="77777777" w:rsidR="00062910" w:rsidRPr="0069784D" w:rsidRDefault="00062910" w:rsidP="009C15CF">
      <w:pPr>
        <w:pStyle w:val="ListParagraph"/>
        <w:numPr>
          <w:ilvl w:val="0"/>
          <w:numId w:val="9"/>
        </w:numPr>
        <w:spacing w:line="256" w:lineRule="auto"/>
        <w:jc w:val="both"/>
        <w:rPr>
          <w:lang w:val="nl-BE"/>
        </w:rPr>
      </w:pPr>
      <w:r w:rsidRPr="0069784D">
        <w:rPr>
          <w:lang w:val="nl-BE"/>
        </w:rPr>
        <w:t>De strafuitvoeringsrechtbank kan dit verbod wijzigen.</w:t>
      </w:r>
    </w:p>
    <w:p w14:paraId="6FD8B419" w14:textId="77777777" w:rsidR="00062910" w:rsidRPr="0069784D" w:rsidRDefault="00062910" w:rsidP="009C15CF">
      <w:pPr>
        <w:jc w:val="both"/>
        <w:rPr>
          <w:lang w:val="nl-BE"/>
        </w:rPr>
      </w:pPr>
    </w:p>
    <w:p w14:paraId="387EA1D4" w14:textId="01952C84" w:rsidR="007641DA" w:rsidRPr="0069784D" w:rsidRDefault="007D167A" w:rsidP="009C15CF">
      <w:pPr>
        <w:jc w:val="both"/>
        <w:rPr>
          <w:lang w:val="nl-BE"/>
        </w:rPr>
      </w:pPr>
      <w:r>
        <w:rPr>
          <w:lang w:val="nl-BE"/>
        </w:rPr>
        <w:t>De veroordeling tot d</w:t>
      </w:r>
      <w:r w:rsidR="00062910" w:rsidRPr="0069784D">
        <w:rPr>
          <w:lang w:val="nl-BE"/>
        </w:rPr>
        <w:t xml:space="preserve">eze straf moet </w:t>
      </w:r>
      <w:r>
        <w:rPr>
          <w:lang w:val="nl-BE"/>
        </w:rPr>
        <w:t xml:space="preserve">steeds </w:t>
      </w:r>
      <w:r w:rsidR="00062910" w:rsidRPr="0069784D">
        <w:rPr>
          <w:lang w:val="nl-BE"/>
        </w:rPr>
        <w:t xml:space="preserve">met bijzondere redenen worden </w:t>
      </w:r>
      <w:r w:rsidRPr="00173321">
        <w:rPr>
          <w:lang w:val="nl-BE"/>
        </w:rPr>
        <w:t>gemotiveerd</w:t>
      </w:r>
      <w:r w:rsidR="00062910" w:rsidRPr="0069784D">
        <w:rPr>
          <w:lang w:val="nl-BE"/>
        </w:rPr>
        <w:t xml:space="preserve"> en</w:t>
      </w:r>
      <w:r>
        <w:rPr>
          <w:lang w:val="nl-BE"/>
        </w:rPr>
        <w:t xml:space="preserve"> dient </w:t>
      </w:r>
      <w:r w:rsidR="00062910" w:rsidRPr="0069784D">
        <w:rPr>
          <w:lang w:val="nl-BE"/>
        </w:rPr>
        <w:t xml:space="preserve"> rekening </w:t>
      </w:r>
      <w:r>
        <w:rPr>
          <w:lang w:val="nl-BE"/>
        </w:rPr>
        <w:t xml:space="preserve">te </w:t>
      </w:r>
      <w:r w:rsidR="00062910" w:rsidRPr="0069784D">
        <w:rPr>
          <w:lang w:val="nl-BE"/>
        </w:rPr>
        <w:t>houden met de ernst van de feiten en met de reclasseringsmogelijkheden voor de veroordeelde.</w:t>
      </w:r>
      <w:bookmarkStart w:id="38" w:name="_Toc104923487"/>
    </w:p>
    <w:p w14:paraId="0DDED7BD" w14:textId="77777777" w:rsidR="007641DA" w:rsidRPr="0069784D" w:rsidRDefault="007641DA" w:rsidP="009C15CF">
      <w:pPr>
        <w:jc w:val="both"/>
        <w:rPr>
          <w:lang w:val="nl-BE"/>
        </w:rPr>
      </w:pPr>
    </w:p>
    <w:p w14:paraId="03601E00" w14:textId="689803D6" w:rsidR="00062910" w:rsidRPr="0069784D" w:rsidRDefault="00062910" w:rsidP="009C15CF">
      <w:pPr>
        <w:jc w:val="both"/>
        <w:rPr>
          <w:rFonts w:cstheme="minorHAnsi"/>
          <w:sz w:val="28"/>
          <w:szCs w:val="28"/>
          <w:lang w:val="nl-BE"/>
        </w:rPr>
      </w:pPr>
      <w:r w:rsidRPr="0069784D">
        <w:rPr>
          <w:sz w:val="28"/>
          <w:lang w:val="nl-BE"/>
        </w:rPr>
        <w:t>Artikel 417/59</w:t>
      </w:r>
      <w:r w:rsidR="007641DA" w:rsidRPr="0069784D">
        <w:rPr>
          <w:sz w:val="28"/>
          <w:lang w:val="nl-BE"/>
        </w:rPr>
        <w:t xml:space="preserve"> - </w:t>
      </w:r>
      <w:r w:rsidRPr="0069784D">
        <w:rPr>
          <w:sz w:val="28"/>
          <w:lang w:val="nl-BE"/>
        </w:rPr>
        <w:t>Specifieke verboden en ontzettingen</w:t>
      </w:r>
      <w:bookmarkEnd w:id="38"/>
    </w:p>
    <w:p w14:paraId="196B8D1E" w14:textId="77777777" w:rsidR="00062910" w:rsidRPr="0069784D" w:rsidRDefault="00062910" w:rsidP="009C15CF">
      <w:pPr>
        <w:jc w:val="both"/>
        <w:rPr>
          <w:lang w:val="nl-BE"/>
        </w:rPr>
      </w:pPr>
    </w:p>
    <w:p w14:paraId="4E116455" w14:textId="7A27E4F2" w:rsidR="00062910" w:rsidRPr="0069784D" w:rsidRDefault="00062910" w:rsidP="009C15CF">
      <w:pPr>
        <w:jc w:val="both"/>
        <w:rPr>
          <w:rFonts w:eastAsia="Times New Roman" w:cstheme="minorHAnsi"/>
          <w:bCs/>
          <w:lang w:val="nl-BE"/>
        </w:rPr>
      </w:pPr>
      <w:r w:rsidRPr="0069784D">
        <w:rPr>
          <w:lang w:val="nl-BE"/>
        </w:rPr>
        <w:t>In de nieuwe wet w</w:t>
      </w:r>
      <w:r w:rsidR="007641DA" w:rsidRPr="0069784D">
        <w:rPr>
          <w:lang w:val="nl-BE"/>
        </w:rPr>
        <w:t>o</w:t>
      </w:r>
      <w:r w:rsidRPr="0069784D">
        <w:rPr>
          <w:lang w:val="nl-BE"/>
        </w:rPr>
        <w:t>rden de verboden</w:t>
      </w:r>
      <w:r w:rsidR="007641DA" w:rsidRPr="0069784D">
        <w:rPr>
          <w:lang w:val="nl-BE"/>
        </w:rPr>
        <w:t>,</w:t>
      </w:r>
      <w:r w:rsidRPr="0069784D">
        <w:rPr>
          <w:lang w:val="nl-BE"/>
        </w:rPr>
        <w:t xml:space="preserve"> die </w:t>
      </w:r>
      <w:r w:rsidR="007641DA" w:rsidRPr="0069784D">
        <w:rPr>
          <w:lang w:val="nl-BE"/>
        </w:rPr>
        <w:t xml:space="preserve">voorheen </w:t>
      </w:r>
      <w:r w:rsidRPr="0069784D">
        <w:rPr>
          <w:lang w:val="nl-BE"/>
        </w:rPr>
        <w:t xml:space="preserve">in verschillende bepalingen </w:t>
      </w:r>
      <w:r w:rsidR="007641DA" w:rsidRPr="0069784D">
        <w:rPr>
          <w:lang w:val="nl-BE"/>
        </w:rPr>
        <w:t>aan bod kwamen</w:t>
      </w:r>
      <w:r w:rsidRPr="0069784D">
        <w:rPr>
          <w:lang w:val="nl-BE"/>
        </w:rPr>
        <w:t xml:space="preserve">, meer bepaald in de artikelen 378, 382, 382bis en 388 van het Strafwetboek, in één enkel artikel </w:t>
      </w:r>
      <w:r w:rsidR="00411A39" w:rsidRPr="0069784D">
        <w:rPr>
          <w:lang w:val="nl-BE"/>
        </w:rPr>
        <w:t>samengevoegd</w:t>
      </w:r>
      <w:r w:rsidRPr="0069784D">
        <w:rPr>
          <w:lang w:val="nl-BE"/>
        </w:rPr>
        <w:t xml:space="preserve">. </w:t>
      </w:r>
    </w:p>
    <w:p w14:paraId="0C42DFB5" w14:textId="77777777" w:rsidR="00062910" w:rsidRPr="0069784D" w:rsidRDefault="00062910" w:rsidP="009C15CF">
      <w:pPr>
        <w:jc w:val="both"/>
        <w:rPr>
          <w:rFonts w:eastAsia="Times New Roman" w:cstheme="minorHAnsi"/>
          <w:bCs/>
          <w:lang w:val="nl-BE" w:eastAsia="en-GB"/>
        </w:rPr>
      </w:pPr>
    </w:p>
    <w:tbl>
      <w:tblPr>
        <w:tblStyle w:val="TableGrid"/>
        <w:tblW w:w="0" w:type="auto"/>
        <w:tblLook w:val="04A0" w:firstRow="1" w:lastRow="0" w:firstColumn="1" w:lastColumn="0" w:noHBand="0" w:noVBand="1"/>
      </w:tblPr>
      <w:tblGrid>
        <w:gridCol w:w="4508"/>
        <w:gridCol w:w="4508"/>
      </w:tblGrid>
      <w:tr w:rsidR="00062910" w:rsidRPr="0069784D" w14:paraId="0BB1838A" w14:textId="77777777" w:rsidTr="00957384">
        <w:tc>
          <w:tcPr>
            <w:tcW w:w="4508" w:type="dxa"/>
            <w:tcBorders>
              <w:top w:val="single" w:sz="4" w:space="0" w:color="auto"/>
              <w:left w:val="single" w:sz="4" w:space="0" w:color="auto"/>
              <w:bottom w:val="single" w:sz="4" w:space="0" w:color="auto"/>
              <w:right w:val="single" w:sz="4" w:space="0" w:color="auto"/>
            </w:tcBorders>
            <w:hideMark/>
          </w:tcPr>
          <w:p w14:paraId="45EE5A79" w14:textId="77777777" w:rsidR="00062910" w:rsidRPr="0069784D" w:rsidRDefault="00062910" w:rsidP="009C15CF">
            <w:pPr>
              <w:jc w:val="both"/>
            </w:pPr>
            <w:r w:rsidRPr="0069784D">
              <w:t xml:space="preserve">Vroegere bepalingen: </w:t>
            </w:r>
          </w:p>
          <w:p w14:paraId="7C8CD986" w14:textId="67872048" w:rsidR="00411A39" w:rsidRPr="002C433B" w:rsidRDefault="00411A39" w:rsidP="009C15CF">
            <w:pPr>
              <w:jc w:val="both"/>
              <w:rPr>
                <w:rFonts w:eastAsia="Times New Roman" w:cstheme="minorHAnsi"/>
                <w:bCs/>
              </w:rPr>
            </w:pPr>
          </w:p>
        </w:tc>
        <w:tc>
          <w:tcPr>
            <w:tcW w:w="4508" w:type="dxa"/>
            <w:tcBorders>
              <w:top w:val="single" w:sz="4" w:space="0" w:color="auto"/>
              <w:left w:val="single" w:sz="4" w:space="0" w:color="auto"/>
              <w:bottom w:val="single" w:sz="4" w:space="0" w:color="auto"/>
              <w:right w:val="single" w:sz="4" w:space="0" w:color="auto"/>
            </w:tcBorders>
            <w:hideMark/>
          </w:tcPr>
          <w:p w14:paraId="4281E16A" w14:textId="5AAD6E1F" w:rsidR="00062910" w:rsidRPr="0069784D" w:rsidRDefault="00062910" w:rsidP="009C15CF">
            <w:pPr>
              <w:jc w:val="both"/>
              <w:rPr>
                <w:rFonts w:eastAsia="Times New Roman" w:cstheme="minorHAnsi"/>
                <w:b/>
                <w:sz w:val="32"/>
                <w:szCs w:val="32"/>
              </w:rPr>
            </w:pPr>
            <w:r w:rsidRPr="0069784D">
              <w:t xml:space="preserve">Nieuwe bepaling: </w:t>
            </w:r>
            <w:r w:rsidR="007641DA" w:rsidRPr="0069784D">
              <w:t>a</w:t>
            </w:r>
            <w:r w:rsidRPr="0069784D">
              <w:t>rtikel 417/59</w:t>
            </w:r>
          </w:p>
        </w:tc>
      </w:tr>
      <w:tr w:rsidR="00062910" w:rsidRPr="001C6BF9" w14:paraId="1192B2DE" w14:textId="77777777" w:rsidTr="00957384">
        <w:tc>
          <w:tcPr>
            <w:tcW w:w="4508" w:type="dxa"/>
            <w:tcBorders>
              <w:top w:val="single" w:sz="4" w:space="0" w:color="auto"/>
              <w:left w:val="single" w:sz="4" w:space="0" w:color="auto"/>
              <w:bottom w:val="single" w:sz="4" w:space="0" w:color="auto"/>
              <w:right w:val="single" w:sz="4" w:space="0" w:color="auto"/>
            </w:tcBorders>
          </w:tcPr>
          <w:p w14:paraId="34100B6B" w14:textId="10F7F35B" w:rsidR="00062910" w:rsidRPr="0069784D" w:rsidRDefault="00062910" w:rsidP="009C15CF">
            <w:pPr>
              <w:jc w:val="both"/>
              <w:rPr>
                <w:lang w:val="nl-BE"/>
              </w:rPr>
            </w:pPr>
            <w:r w:rsidRPr="0069784D">
              <w:rPr>
                <w:b/>
                <w:bCs/>
                <w:lang w:val="nl-BE"/>
              </w:rPr>
              <w:t>In artikel 31 van het Strafwetboek vermeld verbod</w:t>
            </w:r>
            <w:r w:rsidRPr="0069784D">
              <w:rPr>
                <w:lang w:val="nl-BE"/>
              </w:rPr>
              <w:t>: cf. de artikelen 378, lid 1; 382, §1 en 388,</w:t>
            </w:r>
            <w:r w:rsidR="007641DA" w:rsidRPr="0069784D">
              <w:rPr>
                <w:lang w:val="nl-BE"/>
              </w:rPr>
              <w:t xml:space="preserve"> </w:t>
            </w:r>
            <w:r w:rsidRPr="0069784D">
              <w:rPr>
                <w:lang w:val="nl-BE"/>
              </w:rPr>
              <w:t xml:space="preserve">lid 1 van het Strafwetboek. </w:t>
            </w:r>
          </w:p>
          <w:p w14:paraId="133F9226" w14:textId="77777777" w:rsidR="007641DA" w:rsidRPr="0069784D" w:rsidRDefault="007641DA" w:rsidP="009C15CF">
            <w:pPr>
              <w:jc w:val="both"/>
              <w:rPr>
                <w:lang w:val="nl-BE"/>
              </w:rPr>
            </w:pPr>
          </w:p>
          <w:p w14:paraId="6692C9E2" w14:textId="77777777" w:rsidR="00062910" w:rsidRPr="0069784D" w:rsidRDefault="00062910" w:rsidP="009C15CF">
            <w:pPr>
              <w:jc w:val="both"/>
              <w:rPr>
                <w:lang w:val="nl-BE"/>
              </w:rPr>
            </w:pPr>
          </w:p>
          <w:p w14:paraId="2857BDEB" w14:textId="45F3AE84" w:rsidR="00062910" w:rsidRPr="0069784D" w:rsidRDefault="00062910" w:rsidP="009C15CF">
            <w:pPr>
              <w:jc w:val="both"/>
              <w:rPr>
                <w:lang w:val="nl-BE"/>
              </w:rPr>
            </w:pPr>
            <w:r w:rsidRPr="0069784D">
              <w:rPr>
                <w:b/>
                <w:lang w:val="nl-BE"/>
              </w:rPr>
              <w:t xml:space="preserve">Artikel 378, lid </w:t>
            </w:r>
            <w:r w:rsidRPr="0069784D">
              <w:rPr>
                <w:b/>
                <w:bCs/>
                <w:lang w:val="nl-BE"/>
              </w:rPr>
              <w:t>2 van het Strafwetboek:</w:t>
            </w:r>
            <w:r w:rsidRPr="0069784D">
              <w:rPr>
                <w:lang w:val="nl-BE"/>
              </w:rPr>
              <w:t xml:space="preserve"> </w:t>
            </w:r>
            <w:r w:rsidRPr="0069784D">
              <w:rPr>
                <w:i/>
                <w:iCs/>
                <w:lang w:val="nl-BE"/>
              </w:rPr>
              <w:t>De rechtbanken kunnen daarenboven de veroordeelde verbieden tijdelijk of levenslang, rechtstreeks of onrechtstreeks een rusthuis, een home, een bejaardenverblijf of elke andere structuur voor gemeenschappelijk verblijf van personen als bedoeld in artikel 376, derde lid, uit te baten, of als vrijwilliger, contractueel of statutair personeelslid dan wel als lid van de bestuurs- en beheersorganen deel uit te maken van enige instelling of vereniging waarvan de hoofdactiviteit gericht is op in artikel 376, derde lid, bedoelde kwetsbare personen.</w:t>
            </w:r>
            <w:r w:rsidRPr="0069784D">
              <w:rPr>
                <w:lang w:val="nl-BE"/>
              </w:rPr>
              <w:t xml:space="preserve"> </w:t>
            </w:r>
          </w:p>
          <w:p w14:paraId="491D998B" w14:textId="77777777" w:rsidR="00062910" w:rsidRPr="0069784D" w:rsidRDefault="00062910" w:rsidP="009C15CF">
            <w:pPr>
              <w:jc w:val="both"/>
              <w:rPr>
                <w:lang w:val="nl-BE"/>
              </w:rPr>
            </w:pPr>
          </w:p>
          <w:p w14:paraId="2CE3A326" w14:textId="307AD5FF" w:rsidR="007641DA" w:rsidRPr="0069784D" w:rsidRDefault="00062910" w:rsidP="009C15CF">
            <w:pPr>
              <w:jc w:val="both"/>
              <w:rPr>
                <w:i/>
                <w:iCs/>
                <w:lang w:val="nl-BE"/>
              </w:rPr>
            </w:pPr>
            <w:r w:rsidRPr="0069784D">
              <w:rPr>
                <w:lang w:val="nl-BE"/>
              </w:rPr>
              <w:t xml:space="preserve">Artikel 382, §2 van het Strafwetboek: </w:t>
            </w:r>
            <w:r w:rsidRPr="0069784D">
              <w:rPr>
                <w:i/>
                <w:iCs/>
                <w:lang w:val="nl-BE"/>
              </w:rPr>
              <w:t xml:space="preserve">De rechtbanken kunnen tegen de personen die wegens een misdrijf bepaald bij artikel 380, §§ 1 tot 3, veroordeeld worden, het verbod uitspreken om gedurende een jaar tot drie jaar </w:t>
            </w:r>
            <w:r w:rsidRPr="0069784D">
              <w:rPr>
                <w:i/>
                <w:iCs/>
                <w:lang w:val="nl-BE"/>
              </w:rPr>
              <w:lastRenderedPageBreak/>
              <w:t>een drankgelegenheid, een bureau voor arbeidsbemiddeling, een onderneming van vertoningen, een zaak voor verhuur of verkoop van visuele dragers, een hotel, een bureau voor verhuur van gemeubileerde kamers of appartementen, een reisbureau, een huwelijksbureau, een adoptieinstelling, een instelling waaraan de bewaring van minderjarigen wordt toevertrouwd, een bedrijf dat leerlingen en jeugdgroepen vervoert, een gelegenheid voor ontspanning of vakantie, of een inrichting die lichaamsverzorging of psychologische begeleiding aanbiedt, hetzij persoonlijk, hetzij door bemiddeling van een tussenpersoon, uit te baten of er, in welke hoedanigheid ook, werkzaam te zijn.</w:t>
            </w:r>
          </w:p>
          <w:p w14:paraId="0238EB01" w14:textId="77777777" w:rsidR="007641DA" w:rsidRPr="0069784D" w:rsidRDefault="00062910" w:rsidP="009C15CF">
            <w:pPr>
              <w:jc w:val="both"/>
              <w:rPr>
                <w:i/>
                <w:iCs/>
                <w:lang w:val="nl-BE"/>
              </w:rPr>
            </w:pPr>
            <w:r w:rsidRPr="0069784D">
              <w:rPr>
                <w:i/>
                <w:iCs/>
                <w:lang w:val="nl-BE"/>
              </w:rPr>
              <w:t>In geval van een tweede veroordeling wegens een misdrijf bepaald in artikel 380, §§ 1 tot 3, kan het verbod voor een termijn van een jaar tot twintig jaar worden uitgesproken.</w:t>
            </w:r>
          </w:p>
          <w:p w14:paraId="0F9833AE" w14:textId="73705B85" w:rsidR="00062910" w:rsidRPr="0069784D" w:rsidRDefault="00062910" w:rsidP="009C15CF">
            <w:pPr>
              <w:jc w:val="both"/>
              <w:rPr>
                <w:lang w:val="nl-BE"/>
              </w:rPr>
            </w:pPr>
            <w:r w:rsidRPr="0069784D">
              <w:rPr>
                <w:i/>
                <w:iCs/>
                <w:lang w:val="nl-BE"/>
              </w:rPr>
              <w:t>In geval van een veroordeling wegens een misdrijf bepaald bij de artikelen 379 en 380, §§ 4 en 5, kan het verbod voor een termijn van een jaar tot twintig jaar worden uitgesproken.</w:t>
            </w:r>
          </w:p>
          <w:p w14:paraId="5D0346F1" w14:textId="77777777" w:rsidR="00062910" w:rsidRPr="0069784D" w:rsidRDefault="00062910" w:rsidP="009C15CF">
            <w:pPr>
              <w:jc w:val="both"/>
              <w:rPr>
                <w:rFonts w:eastAsia="Times New Roman" w:cstheme="minorHAnsi"/>
                <w:lang w:val="nl-BE" w:eastAsia="en-GB"/>
              </w:rPr>
            </w:pPr>
          </w:p>
          <w:p w14:paraId="61C5763F" w14:textId="77777777" w:rsidR="00062910" w:rsidRPr="0069784D" w:rsidRDefault="00062910" w:rsidP="009C15CF">
            <w:pPr>
              <w:jc w:val="both"/>
              <w:rPr>
                <w:rFonts w:eastAsia="Times New Roman" w:cstheme="minorHAnsi"/>
                <w:lang w:val="nl-BE" w:eastAsia="en-GB"/>
              </w:rPr>
            </w:pPr>
          </w:p>
          <w:p w14:paraId="6F5641E6" w14:textId="3873ECE3" w:rsidR="00062910" w:rsidRPr="0069784D" w:rsidRDefault="00062910" w:rsidP="009C15CF">
            <w:pPr>
              <w:jc w:val="both"/>
              <w:rPr>
                <w:lang w:val="nl-BE"/>
              </w:rPr>
            </w:pPr>
            <w:r w:rsidRPr="0069784D">
              <w:rPr>
                <w:b/>
                <w:lang w:val="nl-BE"/>
              </w:rPr>
              <w:t>Artikel 382</w:t>
            </w:r>
            <w:r w:rsidRPr="0069784D">
              <w:rPr>
                <w:b/>
                <w:i/>
                <w:iCs/>
                <w:lang w:val="nl-BE"/>
              </w:rPr>
              <w:t>bis</w:t>
            </w:r>
            <w:r w:rsidRPr="0069784D">
              <w:rPr>
                <w:b/>
                <w:lang w:val="nl-BE"/>
              </w:rPr>
              <w:t xml:space="preserve"> van het Strafwetboek:</w:t>
            </w:r>
            <w:r w:rsidRPr="0069784D">
              <w:rPr>
                <w:lang w:val="nl-BE"/>
              </w:rPr>
              <w:t xml:space="preserve"> </w:t>
            </w:r>
            <w:r w:rsidRPr="0069784D">
              <w:rPr>
                <w:i/>
                <w:iCs/>
                <w:lang w:val="nl-BE"/>
              </w:rPr>
              <w:t>Onverminderd de toepassing van artikel 382 kan elke veroordeling wegens feiten bedoeld [</w:t>
            </w:r>
            <w:hyperlink r:id="rId13" w:anchor="t" w:tooltip="&lt;L 2016-02-01/09, art. 12, 115; En vigueur : 29-02-2016&gt;" w:history="1">
              <w:r w:rsidRPr="0069784D">
                <w:rPr>
                  <w:rStyle w:val="Hyperlink"/>
                  <w:color w:val="auto"/>
                  <w:vertAlign w:val="superscript"/>
                  <w:lang w:val="nl-BE"/>
                </w:rPr>
                <w:t>3</w:t>
              </w:r>
            </w:hyperlink>
            <w:r w:rsidRPr="0069784D">
              <w:rPr>
                <w:i/>
                <w:iCs/>
                <w:lang w:val="nl-BE"/>
              </w:rPr>
              <w:t xml:space="preserve"> in de artikelen 371/1 tot]</w:t>
            </w:r>
            <w:hyperlink r:id="rId14" w:anchor="t" w:tooltip="&lt;L 2016-02-01/09, art. 12, 115; En vigueur : 29-02-2016&gt;" w:history="1">
              <w:r w:rsidRPr="0069784D">
                <w:rPr>
                  <w:rStyle w:val="Hyperlink"/>
                  <w:color w:val="auto"/>
                  <w:vertAlign w:val="superscript"/>
                  <w:lang w:val="nl-BE"/>
                </w:rPr>
                <w:t>3</w:t>
              </w:r>
            </w:hyperlink>
            <w:r w:rsidRPr="0069784D">
              <w:rPr>
                <w:i/>
                <w:iCs/>
                <w:lang w:val="nl-BE"/>
              </w:rPr>
              <w:t xml:space="preserve"> 377, [</w:t>
            </w:r>
            <w:hyperlink r:id="rId15" w:anchor="t" w:tooltip="&lt;L 2014-04-10/24, art. 4, 102; En vigueur : 10-05-2014&gt;" w:history="1">
              <w:r w:rsidRPr="0069784D">
                <w:rPr>
                  <w:rStyle w:val="Hyperlink"/>
                  <w:color w:val="auto"/>
                  <w:vertAlign w:val="superscript"/>
                  <w:lang w:val="nl-BE"/>
                </w:rPr>
                <w:t>2</w:t>
              </w:r>
            </w:hyperlink>
            <w:r w:rsidRPr="0069784D">
              <w:rPr>
                <w:i/>
                <w:iCs/>
                <w:lang w:val="nl-BE"/>
              </w:rPr>
              <w:t xml:space="preserve"> 377quater,]</w:t>
            </w:r>
            <w:hyperlink r:id="rId16" w:anchor="t" w:tooltip="&lt;L 2014-04-10/24, art. 4, 102; En vigueur : 10-05-2014&gt;" w:history="1">
              <w:r w:rsidRPr="0069784D">
                <w:rPr>
                  <w:rStyle w:val="Hyperlink"/>
                  <w:color w:val="auto"/>
                  <w:vertAlign w:val="superscript"/>
                  <w:lang w:val="nl-BE"/>
                </w:rPr>
                <w:t>2</w:t>
              </w:r>
            </w:hyperlink>
            <w:r w:rsidRPr="0069784D">
              <w:rPr>
                <w:i/>
                <w:iCs/>
                <w:lang w:val="nl-BE"/>
              </w:rPr>
              <w:t xml:space="preserve"> 379 tot 380ter, 381 en 383 tot 387, gepleegd op de persoon van een minderjarige of met zijn deelneming, de ontzetting meebrengen van het recht om, voor een termijn van een jaar tot twintig jaar:</w:t>
            </w:r>
          </w:p>
          <w:p w14:paraId="0B23AFA3" w14:textId="77777777" w:rsidR="007641DA" w:rsidRPr="0069784D" w:rsidRDefault="007641DA" w:rsidP="009C15CF">
            <w:pPr>
              <w:jc w:val="both"/>
              <w:rPr>
                <w:i/>
                <w:iCs/>
                <w:lang w:val="nl-BE"/>
              </w:rPr>
            </w:pPr>
          </w:p>
          <w:p w14:paraId="79E34675" w14:textId="77777777" w:rsidR="007641DA" w:rsidRPr="0069784D" w:rsidRDefault="00062910" w:rsidP="009C15CF">
            <w:pPr>
              <w:jc w:val="both"/>
              <w:rPr>
                <w:i/>
                <w:iCs/>
                <w:lang w:val="nl-BE"/>
              </w:rPr>
            </w:pPr>
            <w:r w:rsidRPr="0069784D">
              <w:rPr>
                <w:i/>
                <w:iCs/>
                <w:lang w:val="nl-BE"/>
              </w:rPr>
              <w:t>1° in welke hoedanigheid ook deel te nemen aan onderwijs in een openbare of particuliere instelling die minderjarigen opvangt;</w:t>
            </w:r>
          </w:p>
          <w:p w14:paraId="06711F6B" w14:textId="77777777" w:rsidR="007641DA" w:rsidRPr="0069784D" w:rsidRDefault="00062910" w:rsidP="009C15CF">
            <w:pPr>
              <w:jc w:val="both"/>
              <w:rPr>
                <w:i/>
                <w:iCs/>
                <w:lang w:val="nl-BE"/>
              </w:rPr>
            </w:pPr>
            <w:r w:rsidRPr="0069784D">
              <w:rPr>
                <w:i/>
                <w:iCs/>
                <w:lang w:val="nl-BE"/>
              </w:rPr>
              <w:t>2° deel uit te maken, als vrijwilliger, als lid van het statutair of contractueel personeel of als lid van de organen van bestuur en beheer, van elke rechtspersoon of feitelijke vereniging waarvan de activiteit in hoofdzaak op minderjarigen gericht is;</w:t>
            </w:r>
          </w:p>
          <w:p w14:paraId="5B2B0DCA" w14:textId="30B5EF20" w:rsidR="00062910" w:rsidRPr="0069784D" w:rsidRDefault="00062910" w:rsidP="009C15CF">
            <w:pPr>
              <w:jc w:val="both"/>
              <w:rPr>
                <w:rFonts w:eastAsia="Times New Roman" w:cstheme="minorHAnsi"/>
                <w:lang w:val="nl-BE"/>
              </w:rPr>
            </w:pPr>
            <w:r w:rsidRPr="0069784D">
              <w:rPr>
                <w:i/>
                <w:iCs/>
                <w:lang w:val="nl-BE"/>
              </w:rPr>
              <w:t xml:space="preserve">3° een activiteit toegewezen te krijgen die de veroordeelde in een vertrouwens- of een gezagsrelatie tegenover minderjarigen plaatst, </w:t>
            </w:r>
            <w:r w:rsidRPr="0069784D">
              <w:rPr>
                <w:i/>
                <w:iCs/>
                <w:lang w:val="nl-BE"/>
              </w:rPr>
              <w:lastRenderedPageBreak/>
              <w:t>als vrijwilliger, als lid van het statutair of contractueel personeel of als lid van de organen van bestuur en beheer, van elke rechtspersoon of feitelijke vereniging.</w:t>
            </w:r>
          </w:p>
          <w:p w14:paraId="1DBCD454" w14:textId="77777777" w:rsidR="00062910" w:rsidRPr="0069784D" w:rsidRDefault="00062910" w:rsidP="009C15CF">
            <w:pPr>
              <w:jc w:val="both"/>
              <w:rPr>
                <w:b/>
                <w:bCs/>
                <w:lang w:val="nl-BE"/>
              </w:rPr>
            </w:pPr>
          </w:p>
          <w:p w14:paraId="702A5B1A" w14:textId="693FD771" w:rsidR="00062910" w:rsidRPr="0069784D" w:rsidRDefault="00062910" w:rsidP="009C15CF">
            <w:pPr>
              <w:jc w:val="both"/>
              <w:rPr>
                <w:rFonts w:eastAsia="Times New Roman" w:cstheme="minorHAnsi"/>
                <w:lang w:val="nl-BE"/>
              </w:rPr>
            </w:pPr>
            <w:r w:rsidRPr="0069784D">
              <w:rPr>
                <w:b/>
                <w:bCs/>
                <w:lang w:val="nl-BE"/>
              </w:rPr>
              <w:t>Artikel 382, §4 van het Strafwetboek:</w:t>
            </w:r>
            <w:r w:rsidRPr="0069784D">
              <w:rPr>
                <w:lang w:val="nl-BE"/>
              </w:rPr>
              <w:t xml:space="preserve"> </w:t>
            </w:r>
            <w:r w:rsidRPr="0069784D">
              <w:rPr>
                <w:i/>
                <w:iCs/>
                <w:lang w:val="nl-BE"/>
              </w:rPr>
              <w:t>Artikel 389 is van toepassing op deze bepaling. [...] [(= [Art. 389.] [vanaf] de dag van de veroordeling met uitstel of [...] [vanaf] de dag dat de veroordeelde zijn gevangenisstraf heeft ondergaan of dat zijn straf verjaard is ingeval hiervoor geen uitstel is verleend en, in geval van vervroegde invrijheidstelling, [...] [vanaf] de dag van zijn invrijheidstelling voorzover deze niet herroepen wordt.)]</w:t>
            </w:r>
          </w:p>
        </w:tc>
        <w:tc>
          <w:tcPr>
            <w:tcW w:w="4508" w:type="dxa"/>
            <w:tcBorders>
              <w:top w:val="single" w:sz="4" w:space="0" w:color="auto"/>
              <w:left w:val="single" w:sz="4" w:space="0" w:color="auto"/>
              <w:bottom w:val="single" w:sz="4" w:space="0" w:color="auto"/>
              <w:right w:val="single" w:sz="4" w:space="0" w:color="auto"/>
            </w:tcBorders>
          </w:tcPr>
          <w:p w14:paraId="23F5E451" w14:textId="30F0E59A" w:rsidR="00062910" w:rsidRPr="0069784D" w:rsidRDefault="00062910" w:rsidP="009C15CF">
            <w:pPr>
              <w:jc w:val="both"/>
              <w:rPr>
                <w:i/>
                <w:iCs/>
                <w:lang w:val="nl-BE"/>
              </w:rPr>
            </w:pPr>
            <w:r w:rsidRPr="0069784D">
              <w:rPr>
                <w:i/>
                <w:iCs/>
                <w:lang w:val="nl-BE"/>
              </w:rPr>
              <w:lastRenderedPageBreak/>
              <w:t>§1.</w:t>
            </w:r>
            <w:r w:rsidRPr="0069784D">
              <w:rPr>
                <w:lang w:val="nl-BE"/>
              </w:rPr>
              <w:t xml:space="preserve"> </w:t>
            </w:r>
            <w:r w:rsidRPr="0069784D">
              <w:rPr>
                <w:i/>
                <w:iCs/>
                <w:lang w:val="nl-BE"/>
              </w:rPr>
              <w:t>In de gevallen omschreven in dit hoofdstuk worden de schuldigen veroordeeld tot de ontzetting van de rechten genoemd in artikel 31, eerste lid.</w:t>
            </w:r>
          </w:p>
          <w:p w14:paraId="24A521A2" w14:textId="77777777" w:rsidR="007641DA" w:rsidRPr="0069784D" w:rsidRDefault="007641DA" w:rsidP="009C15CF">
            <w:pPr>
              <w:jc w:val="both"/>
              <w:rPr>
                <w:lang w:val="nl-BE"/>
              </w:rPr>
            </w:pPr>
          </w:p>
          <w:p w14:paraId="2B44B23F" w14:textId="13537A06" w:rsidR="00062910" w:rsidRPr="0069784D" w:rsidRDefault="00062910" w:rsidP="009C15CF">
            <w:pPr>
              <w:jc w:val="both"/>
              <w:rPr>
                <w:lang w:val="nl-BE"/>
              </w:rPr>
            </w:pPr>
            <w:r w:rsidRPr="0069784D">
              <w:rPr>
                <w:i/>
                <w:iCs/>
                <w:lang w:val="nl-BE"/>
              </w:rPr>
              <w:t>§2.</w:t>
            </w:r>
            <w:r w:rsidRPr="0069784D">
              <w:rPr>
                <w:lang w:val="nl-BE"/>
              </w:rPr>
              <w:t xml:space="preserve"> </w:t>
            </w:r>
            <w:r w:rsidRPr="0069784D">
              <w:rPr>
                <w:i/>
                <w:iCs/>
                <w:lang w:val="nl-BE"/>
              </w:rPr>
              <w:t>Onverminderd andere wettelijke bepalingen, kan de rechter in de in dit hoofdstuk omschreven gevallen de veroordeelde verbieden tijdelijk of levenslang, rechtstreeks of onrechtstreeks een rusthuis, een home, een bejaardenverblijf of elke andere structuur voor gemeenschappelijk verblijf van kwetsbare personen uit te baten, of als vrijwilliger, contractueel of statutair personeelslid dan wel als lid van de bestuurs- en beheersorganen deel uit te maken van enige instelling of vereniging waarvan de hoofdactiviteit gericht is op kwetsbare personen</w:t>
            </w:r>
            <w:r w:rsidR="007641DA" w:rsidRPr="0069784D">
              <w:rPr>
                <w:i/>
                <w:iCs/>
                <w:lang w:val="nl-BE"/>
              </w:rPr>
              <w:t>.</w:t>
            </w:r>
          </w:p>
          <w:p w14:paraId="0576E4EB" w14:textId="77777777" w:rsidR="00062910" w:rsidRPr="0069784D" w:rsidRDefault="00062910" w:rsidP="009C15CF">
            <w:pPr>
              <w:jc w:val="both"/>
              <w:rPr>
                <w:lang w:val="nl-BE"/>
              </w:rPr>
            </w:pPr>
          </w:p>
          <w:p w14:paraId="3D38D088" w14:textId="77777777" w:rsidR="00062910" w:rsidRPr="0069784D" w:rsidRDefault="00062910" w:rsidP="009C15CF">
            <w:pPr>
              <w:jc w:val="both"/>
              <w:rPr>
                <w:lang w:val="nl-BE"/>
              </w:rPr>
            </w:pPr>
          </w:p>
          <w:p w14:paraId="47A4BDFC" w14:textId="77777777" w:rsidR="00062910" w:rsidRPr="0069784D" w:rsidRDefault="00062910" w:rsidP="009C15CF">
            <w:pPr>
              <w:jc w:val="both"/>
              <w:rPr>
                <w:lang w:val="nl-BE"/>
              </w:rPr>
            </w:pPr>
          </w:p>
          <w:p w14:paraId="16193874" w14:textId="77777777" w:rsidR="00062910" w:rsidRPr="0069784D" w:rsidRDefault="00062910" w:rsidP="009C15CF">
            <w:pPr>
              <w:jc w:val="both"/>
              <w:rPr>
                <w:lang w:val="nl-BE"/>
              </w:rPr>
            </w:pPr>
          </w:p>
          <w:p w14:paraId="60976DB1" w14:textId="77777777" w:rsidR="00062910" w:rsidRPr="0069784D" w:rsidRDefault="00062910" w:rsidP="009C15CF">
            <w:pPr>
              <w:jc w:val="both"/>
              <w:rPr>
                <w:lang w:val="nl-BE"/>
              </w:rPr>
            </w:pPr>
          </w:p>
          <w:p w14:paraId="2C57F7F1" w14:textId="77777777" w:rsidR="00062910" w:rsidRPr="0069784D" w:rsidRDefault="00062910" w:rsidP="009C15CF">
            <w:pPr>
              <w:jc w:val="both"/>
              <w:rPr>
                <w:lang w:val="nl-BE"/>
              </w:rPr>
            </w:pPr>
          </w:p>
          <w:p w14:paraId="45CFADD2" w14:textId="77777777" w:rsidR="00062910" w:rsidRPr="0069784D" w:rsidRDefault="00062910" w:rsidP="009C15CF">
            <w:pPr>
              <w:jc w:val="both"/>
              <w:rPr>
                <w:lang w:val="nl-BE"/>
              </w:rPr>
            </w:pPr>
          </w:p>
          <w:p w14:paraId="4B4C1FE3" w14:textId="77777777" w:rsidR="00062910" w:rsidRPr="0069784D" w:rsidRDefault="00062910" w:rsidP="009C15CF">
            <w:pPr>
              <w:jc w:val="both"/>
              <w:rPr>
                <w:lang w:val="nl-BE"/>
              </w:rPr>
            </w:pPr>
          </w:p>
          <w:p w14:paraId="4270360F" w14:textId="77777777" w:rsidR="00062910" w:rsidRPr="0069784D" w:rsidRDefault="00062910" w:rsidP="009C15CF">
            <w:pPr>
              <w:jc w:val="both"/>
              <w:rPr>
                <w:lang w:val="nl-BE"/>
              </w:rPr>
            </w:pPr>
          </w:p>
          <w:p w14:paraId="65D6BB2F" w14:textId="77777777" w:rsidR="00062910" w:rsidRPr="0069784D" w:rsidRDefault="00062910" w:rsidP="009C15CF">
            <w:pPr>
              <w:jc w:val="both"/>
              <w:rPr>
                <w:lang w:val="nl-BE"/>
              </w:rPr>
            </w:pPr>
          </w:p>
          <w:p w14:paraId="79D7DCD4" w14:textId="77777777" w:rsidR="00062910" w:rsidRPr="0069784D" w:rsidRDefault="00062910" w:rsidP="009C15CF">
            <w:pPr>
              <w:jc w:val="both"/>
              <w:rPr>
                <w:lang w:val="nl-BE"/>
              </w:rPr>
            </w:pPr>
          </w:p>
          <w:p w14:paraId="693F9A4A" w14:textId="77777777" w:rsidR="00062910" w:rsidRPr="0069784D" w:rsidRDefault="00062910" w:rsidP="009C15CF">
            <w:pPr>
              <w:jc w:val="both"/>
              <w:rPr>
                <w:lang w:val="nl-BE"/>
              </w:rPr>
            </w:pPr>
          </w:p>
          <w:p w14:paraId="480EEAAA" w14:textId="77777777" w:rsidR="00062910" w:rsidRPr="0069784D" w:rsidRDefault="00062910" w:rsidP="009C15CF">
            <w:pPr>
              <w:jc w:val="both"/>
              <w:rPr>
                <w:lang w:val="nl-BE"/>
              </w:rPr>
            </w:pPr>
          </w:p>
          <w:p w14:paraId="7F4D572B" w14:textId="77777777" w:rsidR="00062910" w:rsidRPr="0069784D" w:rsidRDefault="00062910" w:rsidP="009C15CF">
            <w:pPr>
              <w:jc w:val="both"/>
              <w:rPr>
                <w:lang w:val="nl-BE"/>
              </w:rPr>
            </w:pPr>
          </w:p>
          <w:p w14:paraId="5515FD89" w14:textId="77777777" w:rsidR="00062910" w:rsidRPr="0069784D" w:rsidRDefault="00062910" w:rsidP="009C15CF">
            <w:pPr>
              <w:jc w:val="both"/>
              <w:rPr>
                <w:lang w:val="nl-BE"/>
              </w:rPr>
            </w:pPr>
          </w:p>
          <w:p w14:paraId="47AC66C8" w14:textId="77777777" w:rsidR="00062910" w:rsidRPr="0069784D" w:rsidRDefault="00062910" w:rsidP="009C15CF">
            <w:pPr>
              <w:jc w:val="both"/>
              <w:rPr>
                <w:lang w:val="nl-BE"/>
              </w:rPr>
            </w:pPr>
          </w:p>
          <w:p w14:paraId="3BEFE3B8" w14:textId="77777777" w:rsidR="00062910" w:rsidRPr="0069784D" w:rsidRDefault="00062910" w:rsidP="009C15CF">
            <w:pPr>
              <w:jc w:val="both"/>
              <w:rPr>
                <w:lang w:val="nl-BE"/>
              </w:rPr>
            </w:pPr>
          </w:p>
          <w:p w14:paraId="7CFFD43F" w14:textId="77777777" w:rsidR="00062910" w:rsidRPr="0069784D" w:rsidRDefault="00062910" w:rsidP="009C15CF">
            <w:pPr>
              <w:jc w:val="both"/>
              <w:rPr>
                <w:lang w:val="nl-BE"/>
              </w:rPr>
            </w:pPr>
          </w:p>
          <w:p w14:paraId="7D7E5CE2" w14:textId="77777777" w:rsidR="00062910" w:rsidRPr="0069784D" w:rsidRDefault="00062910" w:rsidP="009C15CF">
            <w:pPr>
              <w:jc w:val="both"/>
              <w:rPr>
                <w:lang w:val="nl-BE"/>
              </w:rPr>
            </w:pPr>
          </w:p>
          <w:p w14:paraId="73BE4ECC" w14:textId="77777777" w:rsidR="00062910" w:rsidRPr="0069784D" w:rsidRDefault="00062910" w:rsidP="009C15CF">
            <w:pPr>
              <w:jc w:val="both"/>
              <w:rPr>
                <w:lang w:val="nl-BE"/>
              </w:rPr>
            </w:pPr>
          </w:p>
          <w:p w14:paraId="66E1DC52" w14:textId="77777777" w:rsidR="00062910" w:rsidRPr="0069784D" w:rsidRDefault="00062910" w:rsidP="009C15CF">
            <w:pPr>
              <w:jc w:val="both"/>
              <w:rPr>
                <w:lang w:val="nl-BE"/>
              </w:rPr>
            </w:pPr>
          </w:p>
          <w:p w14:paraId="01CE2B81" w14:textId="039D8ED1" w:rsidR="00062910" w:rsidRPr="0069784D" w:rsidRDefault="00062910" w:rsidP="009C15CF">
            <w:pPr>
              <w:jc w:val="both"/>
              <w:rPr>
                <w:lang w:val="nl-BE"/>
              </w:rPr>
            </w:pPr>
          </w:p>
          <w:p w14:paraId="4E7C8945" w14:textId="77777777" w:rsidR="00411A39" w:rsidRPr="0069784D" w:rsidRDefault="00411A39" w:rsidP="009C15CF">
            <w:pPr>
              <w:jc w:val="both"/>
              <w:rPr>
                <w:lang w:val="nl-BE"/>
              </w:rPr>
            </w:pPr>
          </w:p>
          <w:p w14:paraId="5D67B50D" w14:textId="708B7289" w:rsidR="00062910" w:rsidRPr="0069784D" w:rsidRDefault="00062910" w:rsidP="009C15CF">
            <w:pPr>
              <w:jc w:val="both"/>
              <w:rPr>
                <w:lang w:val="nl-BE"/>
              </w:rPr>
            </w:pPr>
            <w:r w:rsidRPr="0069784D">
              <w:rPr>
                <w:lang w:val="nl-BE"/>
              </w:rPr>
              <w:t>Dit type verbod</w:t>
            </w:r>
            <w:r w:rsidR="007641DA" w:rsidRPr="0069784D">
              <w:rPr>
                <w:lang w:val="nl-BE"/>
              </w:rPr>
              <w:t xml:space="preserve"> bestaat niet langer</w:t>
            </w:r>
            <w:r w:rsidRPr="0069784D">
              <w:rPr>
                <w:lang w:val="nl-BE"/>
              </w:rPr>
              <w:t>.</w:t>
            </w:r>
          </w:p>
          <w:p w14:paraId="6E998E9C" w14:textId="77777777" w:rsidR="00062910" w:rsidRPr="0069784D" w:rsidRDefault="00062910" w:rsidP="009C15CF">
            <w:pPr>
              <w:jc w:val="both"/>
              <w:rPr>
                <w:lang w:val="nl-BE"/>
              </w:rPr>
            </w:pPr>
          </w:p>
          <w:p w14:paraId="1400F42E" w14:textId="77777777" w:rsidR="00062910" w:rsidRPr="0069784D" w:rsidRDefault="00062910" w:rsidP="009C15CF">
            <w:pPr>
              <w:jc w:val="both"/>
              <w:rPr>
                <w:lang w:val="nl-BE"/>
              </w:rPr>
            </w:pPr>
          </w:p>
          <w:p w14:paraId="03A445C8" w14:textId="77777777" w:rsidR="00062910" w:rsidRPr="0069784D" w:rsidRDefault="00062910" w:rsidP="009C15CF">
            <w:pPr>
              <w:jc w:val="both"/>
              <w:rPr>
                <w:lang w:val="nl-BE"/>
              </w:rPr>
            </w:pPr>
          </w:p>
          <w:p w14:paraId="5015BE8E" w14:textId="77777777" w:rsidR="00062910" w:rsidRPr="0069784D" w:rsidRDefault="00062910" w:rsidP="009C15CF">
            <w:pPr>
              <w:jc w:val="both"/>
              <w:rPr>
                <w:lang w:val="nl-BE"/>
              </w:rPr>
            </w:pPr>
          </w:p>
          <w:p w14:paraId="6D3C3090" w14:textId="77777777" w:rsidR="00062910" w:rsidRPr="0069784D" w:rsidRDefault="00062910" w:rsidP="009C15CF">
            <w:pPr>
              <w:jc w:val="both"/>
              <w:rPr>
                <w:lang w:val="nl-BE"/>
              </w:rPr>
            </w:pPr>
          </w:p>
          <w:p w14:paraId="3920027E" w14:textId="77777777" w:rsidR="00062910" w:rsidRPr="0069784D" w:rsidRDefault="00062910" w:rsidP="009C15CF">
            <w:pPr>
              <w:jc w:val="both"/>
              <w:rPr>
                <w:lang w:val="nl-BE"/>
              </w:rPr>
            </w:pPr>
          </w:p>
          <w:p w14:paraId="1C0C711F" w14:textId="77777777" w:rsidR="00062910" w:rsidRPr="0069784D" w:rsidRDefault="00062910" w:rsidP="009C15CF">
            <w:pPr>
              <w:jc w:val="both"/>
              <w:rPr>
                <w:lang w:val="nl-BE"/>
              </w:rPr>
            </w:pPr>
          </w:p>
          <w:p w14:paraId="245C6178" w14:textId="6FAA8667" w:rsidR="00062910" w:rsidRPr="0069784D" w:rsidRDefault="00062910" w:rsidP="009C15CF">
            <w:pPr>
              <w:jc w:val="both"/>
              <w:rPr>
                <w:lang w:val="nl-BE"/>
              </w:rPr>
            </w:pPr>
          </w:p>
          <w:p w14:paraId="7BF2FFA5" w14:textId="77777777" w:rsidR="007641DA" w:rsidRPr="0069784D" w:rsidRDefault="007641DA" w:rsidP="009C15CF">
            <w:pPr>
              <w:jc w:val="both"/>
              <w:rPr>
                <w:lang w:val="nl-BE"/>
              </w:rPr>
            </w:pPr>
          </w:p>
          <w:p w14:paraId="0713FCB5" w14:textId="1AAAEF64" w:rsidR="00062910" w:rsidRPr="0069784D" w:rsidRDefault="00062910" w:rsidP="009C15CF">
            <w:pPr>
              <w:jc w:val="both"/>
              <w:rPr>
                <w:lang w:val="nl-BE"/>
              </w:rPr>
            </w:pPr>
            <w:r w:rsidRPr="0069784D">
              <w:rPr>
                <w:i/>
                <w:iCs/>
                <w:lang w:val="nl-BE"/>
              </w:rPr>
              <w:t>Onverminderd andere wettelijke bepalingen, kan de rechter in de in dit hoofdstuk omschreven gevallen wegens feiten gepleegd op een minderjarige of met zijn deelneming, de ontzetting uitspreken van het recht om, voor een termijn van een jaar tot twintig jaar:</w:t>
            </w:r>
          </w:p>
          <w:p w14:paraId="24D26381" w14:textId="77777777" w:rsidR="00062910" w:rsidRPr="0069784D" w:rsidRDefault="00062910" w:rsidP="009C15CF">
            <w:pPr>
              <w:jc w:val="both"/>
              <w:rPr>
                <w:lang w:val="nl-BE"/>
              </w:rPr>
            </w:pPr>
          </w:p>
          <w:p w14:paraId="364004BC" w14:textId="77777777" w:rsidR="00062910" w:rsidRPr="0069784D" w:rsidRDefault="00062910" w:rsidP="009C15CF">
            <w:pPr>
              <w:jc w:val="both"/>
              <w:rPr>
                <w:lang w:val="nl-BE"/>
              </w:rPr>
            </w:pPr>
          </w:p>
          <w:p w14:paraId="510274F7" w14:textId="77777777" w:rsidR="00062910" w:rsidRPr="0069784D" w:rsidRDefault="00062910" w:rsidP="009C15CF">
            <w:pPr>
              <w:jc w:val="both"/>
              <w:rPr>
                <w:lang w:val="nl-BE"/>
              </w:rPr>
            </w:pPr>
          </w:p>
          <w:p w14:paraId="664E0B4F" w14:textId="77777777" w:rsidR="00062910" w:rsidRPr="0069784D" w:rsidRDefault="00062910" w:rsidP="009C15CF">
            <w:pPr>
              <w:jc w:val="both"/>
              <w:rPr>
                <w:lang w:val="nl-BE"/>
              </w:rPr>
            </w:pPr>
            <w:r w:rsidRPr="0069784D">
              <w:rPr>
                <w:lang w:val="nl-BE"/>
              </w:rPr>
              <w:t> </w:t>
            </w:r>
          </w:p>
          <w:p w14:paraId="1265C234" w14:textId="77777777" w:rsidR="007641DA" w:rsidRPr="0069784D" w:rsidRDefault="00062910" w:rsidP="009C15CF">
            <w:pPr>
              <w:jc w:val="both"/>
              <w:rPr>
                <w:i/>
                <w:iCs/>
                <w:lang w:val="nl-BE"/>
              </w:rPr>
            </w:pPr>
            <w:r w:rsidRPr="0069784D">
              <w:rPr>
                <w:i/>
                <w:iCs/>
                <w:lang w:val="nl-BE"/>
              </w:rPr>
              <w:t>1° in welke hoedanigheid ook deel te nemen aan onderwijs in een openbare of particuliere instelling die minderjarigen opvangt;</w:t>
            </w:r>
          </w:p>
          <w:p w14:paraId="33DDFDDE" w14:textId="77777777" w:rsidR="007641DA" w:rsidRPr="0069784D" w:rsidRDefault="00062910" w:rsidP="009C15CF">
            <w:pPr>
              <w:jc w:val="both"/>
              <w:rPr>
                <w:i/>
                <w:iCs/>
                <w:lang w:val="nl-BE"/>
              </w:rPr>
            </w:pPr>
            <w:r w:rsidRPr="0069784D">
              <w:rPr>
                <w:i/>
                <w:iCs/>
                <w:lang w:val="nl-BE"/>
              </w:rPr>
              <w:t>2° deel uit te maken, als vrijwilliger, als lid van het statutair of contractueel personeel of als lid van de organen van bestuur en beheer, van elke rechtspersoon of feitelijke vereniging waarvan de activiteit in hoofdzaak op minderjarigen gericht is;</w:t>
            </w:r>
          </w:p>
          <w:p w14:paraId="5B14BEE6" w14:textId="66610EE7" w:rsidR="00062910" w:rsidRPr="0069784D" w:rsidRDefault="00062910" w:rsidP="009C15CF">
            <w:pPr>
              <w:jc w:val="both"/>
              <w:rPr>
                <w:lang w:val="nl-BE"/>
              </w:rPr>
            </w:pPr>
            <w:r w:rsidRPr="0069784D">
              <w:rPr>
                <w:i/>
                <w:iCs/>
                <w:lang w:val="nl-BE"/>
              </w:rPr>
              <w:t xml:space="preserve">3° een activiteit toegewezen te krijgen die de veroordeelde in een vertrouwens- of een gezagsrelatie tegenover minderjarigen plaatst, </w:t>
            </w:r>
            <w:r w:rsidRPr="0069784D">
              <w:rPr>
                <w:i/>
                <w:iCs/>
                <w:lang w:val="nl-BE"/>
              </w:rPr>
              <w:lastRenderedPageBreak/>
              <w:t>als vrijwilliger, als lid van het statutair of contractueel personeel of als lid van de organen van bestuur en beheer, van elke rechtspersoon of feitelijke vereniging.</w:t>
            </w:r>
          </w:p>
          <w:p w14:paraId="45EC584B" w14:textId="0708AA33" w:rsidR="00062910" w:rsidRPr="0069784D" w:rsidRDefault="00062910" w:rsidP="009C15CF">
            <w:pPr>
              <w:jc w:val="both"/>
              <w:rPr>
                <w:lang w:val="nl-BE"/>
              </w:rPr>
            </w:pPr>
          </w:p>
          <w:p w14:paraId="17040DD0" w14:textId="2AAE8235" w:rsidR="00062910" w:rsidRPr="0069784D" w:rsidRDefault="00062910" w:rsidP="009C15CF">
            <w:pPr>
              <w:jc w:val="both"/>
              <w:rPr>
                <w:rFonts w:eastAsia="Times New Roman" w:cstheme="minorHAnsi"/>
                <w:lang w:val="nl-BE"/>
              </w:rPr>
            </w:pPr>
            <w:r w:rsidRPr="0069784D">
              <w:rPr>
                <w:i/>
                <w:iCs/>
                <w:lang w:val="nl-BE"/>
              </w:rPr>
              <w:t>§ 3.</w:t>
            </w:r>
            <w:r w:rsidRPr="0069784D">
              <w:rPr>
                <w:lang w:val="nl-BE"/>
              </w:rPr>
              <w:t xml:space="preserve"> </w:t>
            </w:r>
            <w:r w:rsidRPr="0069784D">
              <w:rPr>
                <w:i/>
                <w:iCs/>
                <w:lang w:val="nl-BE"/>
              </w:rPr>
              <w:t>De verboden en ontzettingen bedoeld in dit artikel, gaan in vanaf de dag waarop de veroordeling in kracht van gewijsde is getreden.</w:t>
            </w:r>
            <w:r w:rsidRPr="0069784D">
              <w:rPr>
                <w:lang w:val="nl-BE"/>
              </w:rPr>
              <w:t xml:space="preserve"> </w:t>
            </w:r>
            <w:r w:rsidRPr="0069784D">
              <w:rPr>
                <w:i/>
                <w:iCs/>
                <w:lang w:val="nl-BE"/>
              </w:rPr>
              <w:t>De termijn wordt evenwel verlengd met de tijd waarin de gevangenisstraf of opsluiting wordt uitgevoerd, met uitzondering van de periode van vervroegde invrijheidstelling.</w:t>
            </w:r>
          </w:p>
        </w:tc>
      </w:tr>
    </w:tbl>
    <w:p w14:paraId="43E49B02" w14:textId="77777777" w:rsidR="00062910" w:rsidRPr="0069784D" w:rsidRDefault="00062910" w:rsidP="009C15CF">
      <w:pPr>
        <w:jc w:val="both"/>
        <w:rPr>
          <w:rFonts w:eastAsia="Times New Roman" w:cstheme="minorHAnsi"/>
          <w:color w:val="000000" w:themeColor="text1"/>
          <w:lang w:val="nl-BE"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1B6395" w14:textId="1FD62064" w:rsidR="00062910" w:rsidRPr="0069784D" w:rsidRDefault="007641DA" w:rsidP="009C15CF">
      <w:pPr>
        <w:jc w:val="both"/>
        <w:rPr>
          <w:rFonts w:eastAsia="Times New Roman" w:cstheme="minorHAnsi"/>
          <w:bCs/>
          <w:lang w:val="nl-BE"/>
        </w:rPr>
      </w:pPr>
      <w:r w:rsidRPr="0069784D">
        <w:rPr>
          <w:lang w:val="nl-BE"/>
        </w:rPr>
        <w:t>Volgende elementen kunnen opgemerkt worden</w:t>
      </w:r>
      <w:r w:rsidR="00062910" w:rsidRPr="0069784D">
        <w:rPr>
          <w:lang w:val="nl-BE"/>
        </w:rPr>
        <w:t xml:space="preserve">: </w:t>
      </w:r>
    </w:p>
    <w:p w14:paraId="19C82C63" w14:textId="03C5EB8C" w:rsidR="00062910" w:rsidRPr="0069784D" w:rsidRDefault="00062910" w:rsidP="009C15CF">
      <w:pPr>
        <w:pStyle w:val="ListParagraph"/>
        <w:numPr>
          <w:ilvl w:val="0"/>
          <w:numId w:val="9"/>
        </w:numPr>
        <w:jc w:val="both"/>
        <w:rPr>
          <w:rFonts w:eastAsia="Times New Roman" w:cstheme="minorHAnsi"/>
          <w:bCs/>
          <w:lang w:val="nl-BE"/>
        </w:rPr>
      </w:pPr>
      <w:r w:rsidRPr="0069784D">
        <w:rPr>
          <w:lang w:val="nl-BE"/>
        </w:rPr>
        <w:t xml:space="preserve">De in artikel 31 van het Strafwetboek vermelde verboden moeten </w:t>
      </w:r>
      <w:r w:rsidRPr="0069784D">
        <w:rPr>
          <w:b/>
          <w:bCs/>
          <w:lang w:val="nl-BE"/>
        </w:rPr>
        <w:t>voortaan</w:t>
      </w:r>
      <w:r w:rsidRPr="0069784D">
        <w:rPr>
          <w:lang w:val="nl-BE"/>
        </w:rPr>
        <w:t xml:space="preserve"> in alle gevallen </w:t>
      </w:r>
      <w:r w:rsidRPr="0069784D">
        <w:rPr>
          <w:b/>
          <w:bCs/>
          <w:lang w:val="nl-BE"/>
        </w:rPr>
        <w:t>verplicht</w:t>
      </w:r>
      <w:r w:rsidRPr="0069784D">
        <w:rPr>
          <w:lang w:val="nl-BE"/>
        </w:rPr>
        <w:t xml:space="preserve"> worden opgelegd en </w:t>
      </w:r>
      <w:r w:rsidR="007641DA" w:rsidRPr="0069784D">
        <w:rPr>
          <w:lang w:val="nl-BE"/>
        </w:rPr>
        <w:t>zijn</w:t>
      </w:r>
      <w:r w:rsidRPr="0069784D">
        <w:rPr>
          <w:lang w:val="nl-BE"/>
        </w:rPr>
        <w:t xml:space="preserve"> dus, zoals </w:t>
      </w:r>
      <w:r w:rsidR="007641DA" w:rsidRPr="0069784D">
        <w:rPr>
          <w:lang w:val="nl-BE"/>
        </w:rPr>
        <w:t>werd</w:t>
      </w:r>
      <w:r w:rsidRPr="0069784D">
        <w:rPr>
          <w:lang w:val="nl-BE"/>
        </w:rPr>
        <w:t xml:space="preserve"> bepaald in het vroegere artikel 388 van het Strafwetboek, niet langer facultatie</w:t>
      </w:r>
      <w:r w:rsidR="007641DA" w:rsidRPr="0069784D">
        <w:rPr>
          <w:lang w:val="nl-BE"/>
        </w:rPr>
        <w:t>f.</w:t>
      </w:r>
      <w:r w:rsidRPr="0069784D">
        <w:rPr>
          <w:lang w:val="nl-BE"/>
        </w:rPr>
        <w:t xml:space="preserve"> </w:t>
      </w:r>
    </w:p>
    <w:p w14:paraId="2F5BA2F7" w14:textId="233BA71B" w:rsidR="00062910" w:rsidRPr="0069784D" w:rsidRDefault="007D167A" w:rsidP="009C15CF">
      <w:pPr>
        <w:pStyle w:val="ListParagraph"/>
        <w:numPr>
          <w:ilvl w:val="0"/>
          <w:numId w:val="9"/>
        </w:numPr>
        <w:spacing w:line="256" w:lineRule="auto"/>
        <w:jc w:val="both"/>
        <w:rPr>
          <w:rFonts w:eastAsia="Times New Roman" w:cstheme="minorHAnsi"/>
          <w:bCs/>
          <w:lang w:val="nl-BE"/>
        </w:rPr>
      </w:pPr>
      <w:r>
        <w:rPr>
          <w:lang w:val="nl-BE"/>
        </w:rPr>
        <w:t>Het</w:t>
      </w:r>
      <w:r w:rsidR="00062910" w:rsidRPr="0069784D">
        <w:rPr>
          <w:lang w:val="nl-BE"/>
        </w:rPr>
        <w:t xml:space="preserve"> nieuwe artikel 417/59 </w:t>
      </w:r>
      <w:r>
        <w:rPr>
          <w:lang w:val="nl-BE"/>
        </w:rPr>
        <w:t xml:space="preserve">vervangt </w:t>
      </w:r>
      <w:r w:rsidR="00062910" w:rsidRPr="0069784D">
        <w:rPr>
          <w:lang w:val="nl-BE"/>
        </w:rPr>
        <w:t>artikel</w:t>
      </w:r>
      <w:r>
        <w:rPr>
          <w:lang w:val="nl-BE"/>
        </w:rPr>
        <w:t>en</w:t>
      </w:r>
      <w:r w:rsidR="00062910" w:rsidRPr="0069784D">
        <w:rPr>
          <w:lang w:val="nl-BE"/>
        </w:rPr>
        <w:t xml:space="preserve"> 382, §1, §2 (gedeeltelijk) en §4 en artikel 382bis van het Strafwetboek, met uitzondering van het in een ander hoofdstuk </w:t>
      </w:r>
      <w:r w:rsidR="007641DA" w:rsidRPr="0069784D">
        <w:rPr>
          <w:lang w:val="nl-BE"/>
        </w:rPr>
        <w:t>opgenomen misdrijf</w:t>
      </w:r>
      <w:r w:rsidR="00062910" w:rsidRPr="0069784D">
        <w:rPr>
          <w:lang w:val="nl-BE"/>
        </w:rPr>
        <w:t xml:space="preserve"> </w:t>
      </w:r>
      <w:r w:rsidR="007641DA" w:rsidRPr="0069784D">
        <w:rPr>
          <w:lang w:val="nl-BE"/>
        </w:rPr>
        <w:t>‘</w:t>
      </w:r>
      <w:r w:rsidR="00062910" w:rsidRPr="0069784D">
        <w:rPr>
          <w:lang w:val="nl-BE"/>
        </w:rPr>
        <w:t>pooierschap van meerderjarigen</w:t>
      </w:r>
      <w:r w:rsidR="007641DA" w:rsidRPr="0069784D">
        <w:rPr>
          <w:lang w:val="nl-BE"/>
        </w:rPr>
        <w:t>’</w:t>
      </w:r>
      <w:r w:rsidR="00062910" w:rsidRPr="0069784D">
        <w:rPr>
          <w:lang w:val="nl-BE"/>
        </w:rPr>
        <w:t>.</w:t>
      </w:r>
    </w:p>
    <w:p w14:paraId="69879EC4" w14:textId="5BE0D165" w:rsidR="00062910" w:rsidRPr="0069784D" w:rsidRDefault="00062910" w:rsidP="009C15CF">
      <w:pPr>
        <w:pStyle w:val="ListParagraph"/>
        <w:numPr>
          <w:ilvl w:val="0"/>
          <w:numId w:val="9"/>
        </w:numPr>
        <w:spacing w:line="256" w:lineRule="auto"/>
        <w:jc w:val="both"/>
        <w:rPr>
          <w:rFonts w:eastAsia="Times New Roman" w:cstheme="minorHAnsi"/>
          <w:bCs/>
          <w:lang w:val="nl-BE"/>
        </w:rPr>
      </w:pPr>
      <w:r w:rsidRPr="0069784D">
        <w:rPr>
          <w:lang w:val="nl-BE"/>
        </w:rPr>
        <w:t xml:space="preserve">De duur van het </w:t>
      </w:r>
      <w:r w:rsidR="007641DA" w:rsidRPr="0069784D">
        <w:rPr>
          <w:lang w:val="nl-BE"/>
        </w:rPr>
        <w:t xml:space="preserve">verbod </w:t>
      </w:r>
      <w:r w:rsidR="007D167A">
        <w:rPr>
          <w:lang w:val="nl-BE"/>
        </w:rPr>
        <w:t>voor</w:t>
      </w:r>
      <w:r w:rsidR="007641DA" w:rsidRPr="0069784D">
        <w:rPr>
          <w:lang w:val="nl-BE"/>
        </w:rPr>
        <w:t xml:space="preserve"> de t</w:t>
      </w:r>
      <w:r w:rsidRPr="0069784D">
        <w:rPr>
          <w:lang w:val="nl-BE"/>
        </w:rPr>
        <w:t>en aanzien van minderjarigen gepleegde feiten</w:t>
      </w:r>
      <w:r w:rsidR="007641DA" w:rsidRPr="0069784D">
        <w:rPr>
          <w:lang w:val="nl-BE"/>
        </w:rPr>
        <w:t xml:space="preserve">, werd </w:t>
      </w:r>
      <w:r w:rsidRPr="0069784D">
        <w:rPr>
          <w:lang w:val="nl-BE"/>
        </w:rPr>
        <w:t>niet gewijzigd.</w:t>
      </w:r>
    </w:p>
    <w:p w14:paraId="12E2B885" w14:textId="73F76E6A" w:rsidR="00062910" w:rsidRPr="0069784D" w:rsidRDefault="00062910" w:rsidP="009C15CF">
      <w:pPr>
        <w:pStyle w:val="ListParagraph"/>
        <w:numPr>
          <w:ilvl w:val="0"/>
          <w:numId w:val="9"/>
        </w:numPr>
        <w:spacing w:line="256" w:lineRule="auto"/>
        <w:jc w:val="both"/>
        <w:rPr>
          <w:rFonts w:eastAsia="Times New Roman" w:cstheme="minorHAnsi"/>
          <w:bCs/>
          <w:i/>
          <w:iCs/>
          <w:color w:val="FF0000"/>
          <w:lang w:val="nl-BE"/>
        </w:rPr>
      </w:pPr>
      <w:r w:rsidRPr="0069784D">
        <w:rPr>
          <w:lang w:val="nl-BE"/>
        </w:rPr>
        <w:t>In het vroegere artikel 376, lid 3 van het Strafwetboek werd een kwetsbaar persoon omschreven als een persoon “</w:t>
      </w:r>
      <w:r w:rsidRPr="0069784D">
        <w:rPr>
          <w:i/>
          <w:iCs/>
          <w:lang w:val="nl-BE"/>
        </w:rPr>
        <w:t>van wie de kwetsbare toestand ten gevolge van de leeftijd, zwangerschap, een ziekte dan wel een lichamelijk of geestelijk gebrek of onvolwaardigheid duidelijk was of de dader bekend was</w:t>
      </w:r>
      <w:r w:rsidRPr="0069784D">
        <w:rPr>
          <w:lang w:val="nl-BE"/>
        </w:rPr>
        <w:t>”</w:t>
      </w:r>
      <w:r w:rsidR="00055403" w:rsidRPr="0069784D">
        <w:rPr>
          <w:lang w:val="nl-BE"/>
        </w:rPr>
        <w:t>.</w:t>
      </w:r>
      <w:r w:rsidRPr="0069784D">
        <w:rPr>
          <w:i/>
          <w:lang w:val="nl-BE"/>
        </w:rPr>
        <w:t xml:space="preserve"> </w:t>
      </w:r>
      <w:r w:rsidRPr="0069784D">
        <w:rPr>
          <w:lang w:val="nl-BE"/>
        </w:rPr>
        <w:t xml:space="preserve">De nieuwe wet </w:t>
      </w:r>
      <w:r w:rsidR="00055403" w:rsidRPr="0069784D">
        <w:rPr>
          <w:lang w:val="nl-BE"/>
        </w:rPr>
        <w:t>om</w:t>
      </w:r>
      <w:r w:rsidRPr="0069784D">
        <w:rPr>
          <w:lang w:val="nl-BE"/>
        </w:rPr>
        <w:t xml:space="preserve">vat </w:t>
      </w:r>
      <w:r w:rsidR="00055403" w:rsidRPr="0069784D">
        <w:rPr>
          <w:lang w:val="nl-BE"/>
        </w:rPr>
        <w:t xml:space="preserve">evenwel </w:t>
      </w:r>
      <w:r w:rsidRPr="0069784D">
        <w:rPr>
          <w:lang w:val="nl-BE"/>
        </w:rPr>
        <w:t xml:space="preserve">geen definitie van </w:t>
      </w:r>
      <w:r w:rsidR="00055403" w:rsidRPr="0069784D">
        <w:rPr>
          <w:lang w:val="nl-BE"/>
        </w:rPr>
        <w:t>wat onder een</w:t>
      </w:r>
      <w:r w:rsidRPr="0069784D">
        <w:rPr>
          <w:lang w:val="nl-BE"/>
        </w:rPr>
        <w:t xml:space="preserve"> in het nieuwe artikel 417/59 vermelde </w:t>
      </w:r>
      <w:r w:rsidR="00055403" w:rsidRPr="0069784D">
        <w:rPr>
          <w:lang w:val="nl-BE"/>
        </w:rPr>
        <w:t>‘</w:t>
      </w:r>
      <w:r w:rsidRPr="0069784D">
        <w:rPr>
          <w:lang w:val="nl-BE"/>
        </w:rPr>
        <w:t>kwetsbare persoon</w:t>
      </w:r>
      <w:r w:rsidR="00055403" w:rsidRPr="0069784D">
        <w:rPr>
          <w:lang w:val="nl-BE"/>
        </w:rPr>
        <w:t>’ begrepen moet worden</w:t>
      </w:r>
      <w:r w:rsidR="003F10E9">
        <w:rPr>
          <w:lang w:val="nl-BE"/>
        </w:rPr>
        <w:t>,</w:t>
      </w:r>
      <w:r w:rsidR="00055403" w:rsidRPr="0069784D">
        <w:rPr>
          <w:lang w:val="nl-BE"/>
        </w:rPr>
        <w:t xml:space="preserve"> noch</w:t>
      </w:r>
      <w:r w:rsidRPr="0069784D">
        <w:rPr>
          <w:lang w:val="nl-BE"/>
        </w:rPr>
        <w:t xml:space="preserve"> een verwijzing naar artikel 417/15</w:t>
      </w:r>
      <w:r w:rsidR="00055403" w:rsidRPr="0069784D">
        <w:rPr>
          <w:lang w:val="nl-BE"/>
        </w:rPr>
        <w:t>,</w:t>
      </w:r>
      <w:r w:rsidRPr="0069784D">
        <w:rPr>
          <w:lang w:val="nl-BE"/>
        </w:rPr>
        <w:t xml:space="preserve"> waarin </w:t>
      </w:r>
      <w:r w:rsidR="00055403" w:rsidRPr="0069784D">
        <w:rPr>
          <w:lang w:val="nl-BE"/>
        </w:rPr>
        <w:t>wordt</w:t>
      </w:r>
      <w:r w:rsidRPr="0069784D">
        <w:rPr>
          <w:lang w:val="nl-BE"/>
        </w:rPr>
        <w:t xml:space="preserve"> bepaald dat de kwetsbare toestand van een persoon ten aanzien van wie feiten werden gepleegd een verzwarende omstandigheid vormt. Door deze vergetelheid van de wetgever kan dus worden verondersteld dat de term </w:t>
      </w:r>
      <w:r w:rsidR="00411A39" w:rsidRPr="0069784D">
        <w:rPr>
          <w:lang w:val="nl-BE"/>
        </w:rPr>
        <w:t>‘</w:t>
      </w:r>
      <w:r w:rsidRPr="0069784D">
        <w:rPr>
          <w:lang w:val="nl-BE"/>
        </w:rPr>
        <w:t>kwetsbaar</w:t>
      </w:r>
      <w:r w:rsidR="00411A39" w:rsidRPr="0069784D">
        <w:rPr>
          <w:lang w:val="nl-BE"/>
        </w:rPr>
        <w:t>’</w:t>
      </w:r>
      <w:r w:rsidRPr="0069784D">
        <w:rPr>
          <w:lang w:val="nl-BE"/>
        </w:rPr>
        <w:t xml:space="preserve"> in de gebruikelijke betekenis moet worden geïnterpreteerd.</w:t>
      </w:r>
    </w:p>
    <w:p w14:paraId="1ECD8EB3" w14:textId="29823978" w:rsidR="00062910" w:rsidRPr="0069784D" w:rsidRDefault="00062910" w:rsidP="009C15CF">
      <w:pPr>
        <w:pStyle w:val="ListParagraph"/>
        <w:numPr>
          <w:ilvl w:val="0"/>
          <w:numId w:val="9"/>
        </w:numPr>
        <w:spacing w:line="256" w:lineRule="auto"/>
        <w:jc w:val="both"/>
        <w:rPr>
          <w:rFonts w:eastAsia="Times New Roman" w:cstheme="minorHAnsi"/>
          <w:bCs/>
          <w:i/>
          <w:iCs/>
          <w:lang w:val="nl-BE"/>
        </w:rPr>
      </w:pPr>
      <w:r w:rsidRPr="0069784D">
        <w:rPr>
          <w:lang w:val="nl-BE"/>
        </w:rPr>
        <w:t>In de nieuwe wet werd de in het vroegere artikel 388, lid 4 vermelde hypothes</w:t>
      </w:r>
      <w:r w:rsidR="007D167A">
        <w:rPr>
          <w:lang w:val="nl-BE"/>
        </w:rPr>
        <w:t>e niet overgenomen. Hierin werd</w:t>
      </w:r>
      <w:r w:rsidR="00D50172" w:rsidRPr="0069784D">
        <w:rPr>
          <w:lang w:val="nl-BE"/>
        </w:rPr>
        <w:t xml:space="preserve"> </w:t>
      </w:r>
      <w:r w:rsidRPr="0069784D">
        <w:rPr>
          <w:lang w:val="nl-BE"/>
        </w:rPr>
        <w:t>bepaald dat ingeval</w:t>
      </w:r>
      <w:r w:rsidR="007D167A">
        <w:rPr>
          <w:lang w:val="nl-BE"/>
        </w:rPr>
        <w:t xml:space="preserve"> van</w:t>
      </w:r>
      <w:r w:rsidRPr="0069784D">
        <w:rPr>
          <w:lang w:val="nl-BE"/>
        </w:rPr>
        <w:t xml:space="preserve"> een derde veroordeling wegens feiten van openbare zedenschennis ten aanzien van minderjarigen, die werden gepleegd binnen een termijn van vijf jaar na de tweede veroordeling, een verbod kan worden uitgesproken om een boekhandel, een antiquariaat, een handel in fotoartikelen of in materiaal vereist voor de totstandkoming van iedere soort van visuele drager, een onderneming van vertoningen of een of meer handelszaken of ondernemingen als hier bedoeld, hetzij persoonlijk, hetzij door bemiddeling van een tussenpersoon, te exploiteren of er, in welke hoedanigheid ook, werkzaam te zijn.</w:t>
      </w:r>
    </w:p>
    <w:p w14:paraId="4EE82E56" w14:textId="2B3A3B83" w:rsidR="00062910" w:rsidRPr="0069784D" w:rsidRDefault="00062910" w:rsidP="009C15CF">
      <w:pPr>
        <w:pStyle w:val="ListParagraph"/>
        <w:numPr>
          <w:ilvl w:val="0"/>
          <w:numId w:val="9"/>
        </w:numPr>
        <w:spacing w:line="256" w:lineRule="auto"/>
        <w:jc w:val="both"/>
        <w:rPr>
          <w:rFonts w:eastAsia="Times New Roman" w:cstheme="minorHAnsi"/>
          <w:bCs/>
          <w:i/>
          <w:iCs/>
          <w:color w:val="5B9BD5" w:themeColor="accent1"/>
          <w:lang w:val="nl-BE"/>
        </w:rPr>
      </w:pPr>
      <w:r w:rsidRPr="0069784D">
        <w:rPr>
          <w:lang w:val="nl-BE"/>
        </w:rPr>
        <w:t>In de nieuwe wet werd de mogelijkheid om een verbod uit te spreken om een drankgelegenheid, een bureau voor arbeidsbemiddeling, enz</w:t>
      </w:r>
      <w:r w:rsidR="00055403" w:rsidRPr="0069784D">
        <w:rPr>
          <w:lang w:val="nl-BE"/>
        </w:rPr>
        <w:t>overder</w:t>
      </w:r>
      <w:r w:rsidRPr="0069784D">
        <w:rPr>
          <w:lang w:val="nl-BE"/>
        </w:rPr>
        <w:t xml:space="preserve"> uit te baten </w:t>
      </w:r>
      <w:r w:rsidR="00055403" w:rsidRPr="0069784D">
        <w:rPr>
          <w:lang w:val="nl-BE"/>
        </w:rPr>
        <w:t>evenmin</w:t>
      </w:r>
      <w:r w:rsidRPr="0069784D">
        <w:rPr>
          <w:lang w:val="nl-BE"/>
        </w:rPr>
        <w:t xml:space="preserve"> </w:t>
      </w:r>
      <w:r w:rsidR="007D167A">
        <w:rPr>
          <w:lang w:val="nl-BE"/>
        </w:rPr>
        <w:lastRenderedPageBreak/>
        <w:t>hernomen</w:t>
      </w:r>
      <w:r w:rsidRPr="0069784D">
        <w:rPr>
          <w:lang w:val="nl-BE"/>
        </w:rPr>
        <w:t>. Deze specifieke verboden werden wel vermeld in artikel 433quater/6 inzake pooierschap ten aanzien van meerderjarigen.</w:t>
      </w:r>
    </w:p>
    <w:p w14:paraId="03C738F2" w14:textId="5138F413" w:rsidR="00055403" w:rsidRPr="0069784D" w:rsidRDefault="00055403" w:rsidP="009C15CF">
      <w:pPr>
        <w:pStyle w:val="ListParagraph"/>
        <w:spacing w:line="256" w:lineRule="auto"/>
        <w:jc w:val="both"/>
        <w:rPr>
          <w:rFonts w:eastAsia="Times New Roman" w:cstheme="minorHAnsi"/>
          <w:bCs/>
          <w:i/>
          <w:iCs/>
          <w:color w:val="000000" w:themeColor="text1"/>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F85792" w14:textId="22442746" w:rsidR="0001590A" w:rsidRPr="0069784D" w:rsidRDefault="0001590A" w:rsidP="009C15CF">
      <w:pPr>
        <w:pStyle w:val="ListParagraph"/>
        <w:spacing w:line="256" w:lineRule="auto"/>
        <w:jc w:val="both"/>
        <w:rPr>
          <w:rFonts w:eastAsia="Times New Roman" w:cstheme="minorHAnsi"/>
          <w:bCs/>
          <w:i/>
          <w:iCs/>
          <w:color w:val="000000" w:themeColor="text1"/>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A37ADA" w14:textId="77777777" w:rsidR="0001590A" w:rsidRPr="0069784D" w:rsidRDefault="0001590A" w:rsidP="009C15CF">
      <w:pPr>
        <w:pStyle w:val="ListParagraph"/>
        <w:spacing w:line="256" w:lineRule="auto"/>
        <w:jc w:val="both"/>
        <w:rPr>
          <w:rFonts w:eastAsia="Times New Roman" w:cstheme="minorHAnsi"/>
          <w:bCs/>
          <w:i/>
          <w:iCs/>
          <w:color w:val="000000" w:themeColor="text1"/>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4673C2" w14:textId="4F4F6E3D" w:rsidR="00062910" w:rsidRPr="0069784D" w:rsidRDefault="00062910" w:rsidP="009C15CF">
      <w:pPr>
        <w:pStyle w:val="Heading3"/>
        <w:jc w:val="both"/>
        <w:rPr>
          <w:rFonts w:asciiTheme="minorHAnsi" w:hAnsiTheme="minorHAnsi"/>
          <w:color w:val="auto"/>
          <w:sz w:val="28"/>
          <w:lang w:val="nl-BE"/>
        </w:rPr>
      </w:pPr>
      <w:bookmarkStart w:id="39" w:name="_Toc104923488"/>
      <w:r w:rsidRPr="0069784D">
        <w:rPr>
          <w:rFonts w:asciiTheme="minorHAnsi" w:hAnsiTheme="minorHAnsi"/>
          <w:color w:val="auto"/>
          <w:sz w:val="28"/>
          <w:lang w:val="nl-BE"/>
        </w:rPr>
        <w:t>Artikel 417/60</w:t>
      </w:r>
      <w:r w:rsidR="00055403" w:rsidRPr="0069784D">
        <w:rPr>
          <w:rFonts w:asciiTheme="minorHAnsi" w:hAnsiTheme="minorHAnsi"/>
          <w:color w:val="auto"/>
          <w:sz w:val="28"/>
          <w:lang w:val="nl-BE"/>
        </w:rPr>
        <w:t xml:space="preserve"> - </w:t>
      </w:r>
      <w:r w:rsidRPr="0069784D">
        <w:rPr>
          <w:rFonts w:asciiTheme="minorHAnsi" w:hAnsiTheme="minorHAnsi"/>
          <w:color w:val="auto"/>
          <w:sz w:val="28"/>
          <w:lang w:val="nl-BE"/>
        </w:rPr>
        <w:t>Niet-naleving van een straf bestaande uit een verbod</w:t>
      </w:r>
      <w:bookmarkEnd w:id="39"/>
    </w:p>
    <w:p w14:paraId="35450515" w14:textId="77777777" w:rsidR="00055403" w:rsidRPr="0069784D" w:rsidRDefault="00055403" w:rsidP="009C15CF">
      <w:pPr>
        <w:rPr>
          <w:lang w:val="nl-BE"/>
        </w:rPr>
      </w:pPr>
    </w:p>
    <w:tbl>
      <w:tblPr>
        <w:tblStyle w:val="TableGrid"/>
        <w:tblW w:w="0" w:type="auto"/>
        <w:tblLook w:val="04A0" w:firstRow="1" w:lastRow="0" w:firstColumn="1" w:lastColumn="0" w:noHBand="0" w:noVBand="1"/>
      </w:tblPr>
      <w:tblGrid>
        <w:gridCol w:w="4508"/>
        <w:gridCol w:w="4508"/>
      </w:tblGrid>
      <w:tr w:rsidR="00062910" w:rsidRPr="0069784D" w14:paraId="0173B4FD" w14:textId="77777777" w:rsidTr="00957384">
        <w:tc>
          <w:tcPr>
            <w:tcW w:w="4508" w:type="dxa"/>
            <w:tcBorders>
              <w:top w:val="single" w:sz="4" w:space="0" w:color="auto"/>
              <w:left w:val="single" w:sz="4" w:space="0" w:color="auto"/>
              <w:bottom w:val="single" w:sz="4" w:space="0" w:color="auto"/>
              <w:right w:val="single" w:sz="4" w:space="0" w:color="auto"/>
            </w:tcBorders>
            <w:hideMark/>
          </w:tcPr>
          <w:p w14:paraId="6FC45924" w14:textId="77777777" w:rsidR="00062910" w:rsidRPr="0069784D" w:rsidRDefault="00062910" w:rsidP="009C15CF">
            <w:pPr>
              <w:jc w:val="both"/>
            </w:pPr>
            <w:r w:rsidRPr="0069784D">
              <w:t>Vroegere bepaling</w:t>
            </w:r>
            <w:r w:rsidR="00055403" w:rsidRPr="0069784D">
              <w:t>: a</w:t>
            </w:r>
            <w:r w:rsidRPr="0069784D">
              <w:t>rtikel 389, §2 tot §4</w:t>
            </w:r>
          </w:p>
          <w:p w14:paraId="75D39D22" w14:textId="0C81EF41" w:rsidR="00055403" w:rsidRPr="0069784D" w:rsidRDefault="00055403" w:rsidP="009C15CF">
            <w:pPr>
              <w:jc w:val="both"/>
              <w:rPr>
                <w:rFonts w:eastAsia="Times New Roman" w:cstheme="minorHAnsi"/>
                <w:bCs/>
              </w:rPr>
            </w:pPr>
          </w:p>
        </w:tc>
        <w:tc>
          <w:tcPr>
            <w:tcW w:w="4508" w:type="dxa"/>
            <w:tcBorders>
              <w:top w:val="single" w:sz="4" w:space="0" w:color="auto"/>
              <w:left w:val="single" w:sz="4" w:space="0" w:color="auto"/>
              <w:bottom w:val="single" w:sz="4" w:space="0" w:color="auto"/>
              <w:right w:val="single" w:sz="4" w:space="0" w:color="auto"/>
            </w:tcBorders>
            <w:hideMark/>
          </w:tcPr>
          <w:p w14:paraId="52402261" w14:textId="3AEF170C" w:rsidR="00062910" w:rsidRPr="0069784D" w:rsidRDefault="00062910" w:rsidP="009C15CF">
            <w:pPr>
              <w:jc w:val="both"/>
              <w:rPr>
                <w:rFonts w:eastAsia="Times New Roman" w:cstheme="minorHAnsi"/>
                <w:bCs/>
              </w:rPr>
            </w:pPr>
            <w:r w:rsidRPr="0069784D">
              <w:t xml:space="preserve">Nieuwe bepaling: </w:t>
            </w:r>
            <w:r w:rsidR="00055403" w:rsidRPr="0069784D">
              <w:t>artikel</w:t>
            </w:r>
            <w:r w:rsidR="00D50172" w:rsidRPr="0069784D">
              <w:t xml:space="preserve"> </w:t>
            </w:r>
            <w:r w:rsidRPr="0069784D">
              <w:t>417/60</w:t>
            </w:r>
          </w:p>
        </w:tc>
      </w:tr>
      <w:tr w:rsidR="00062910" w:rsidRPr="001C6BF9" w14:paraId="10FF9D8B" w14:textId="77777777" w:rsidTr="00957384">
        <w:tc>
          <w:tcPr>
            <w:tcW w:w="4508" w:type="dxa"/>
            <w:tcBorders>
              <w:top w:val="single" w:sz="4" w:space="0" w:color="auto"/>
              <w:left w:val="single" w:sz="4" w:space="0" w:color="auto"/>
              <w:bottom w:val="single" w:sz="4" w:space="0" w:color="auto"/>
              <w:right w:val="single" w:sz="4" w:space="0" w:color="auto"/>
            </w:tcBorders>
            <w:hideMark/>
          </w:tcPr>
          <w:p w14:paraId="4EF307E7" w14:textId="5D28227F" w:rsidR="00062910" w:rsidRPr="0069784D" w:rsidRDefault="009839F1" w:rsidP="009C15CF">
            <w:pPr>
              <w:jc w:val="both"/>
              <w:rPr>
                <w:lang w:val="nl-BE"/>
              </w:rPr>
            </w:pPr>
            <w:hyperlink r:id="rId17" w:anchor="LNK0099" w:history="1">
              <w:r w:rsidR="00062910" w:rsidRPr="0069784D">
                <w:rPr>
                  <w:rStyle w:val="Hyperlink"/>
                  <w:color w:val="auto"/>
                  <w:lang w:val="nl-BE"/>
                </w:rPr>
                <w:t>Artikel 389,</w:t>
              </w:r>
            </w:hyperlink>
            <w:r w:rsidR="00062910" w:rsidRPr="0069784D">
              <w:rPr>
                <w:lang w:val="nl-BE"/>
              </w:rPr>
              <w:t xml:space="preserve"> §2 van het Strafwetboek </w:t>
            </w:r>
            <w:r w:rsidR="00062910" w:rsidRPr="0069784D">
              <w:rPr>
                <w:i/>
                <w:iCs/>
                <w:lang w:val="nl-BE"/>
              </w:rPr>
              <w:t>Elke inbreuk op de beschikking van het vonnis of arrest dat een verbod of ontzetting uitspreekt met toepassing van de artikelen bedoeld in § 1, wordt gestraft met gevangenisstraf van een maand tot zes maanden en met geldboete van honderd [euro] tot duizend [euro] of met een van die straffen alleen.</w:t>
            </w:r>
          </w:p>
          <w:p w14:paraId="5C831963" w14:textId="77777777" w:rsidR="00062910" w:rsidRPr="0069784D" w:rsidRDefault="00062910" w:rsidP="009C15CF">
            <w:pPr>
              <w:jc w:val="both"/>
              <w:rPr>
                <w:lang w:val="nl-BE"/>
              </w:rPr>
            </w:pPr>
            <w:r w:rsidRPr="0069784D">
              <w:rPr>
                <w:lang w:val="nl-BE"/>
              </w:rPr>
              <w:t xml:space="preserve">[...]  </w:t>
            </w:r>
          </w:p>
          <w:p w14:paraId="2C71C28F" w14:textId="597581B1" w:rsidR="00062910" w:rsidRPr="0069784D" w:rsidRDefault="00062910" w:rsidP="009C15CF">
            <w:pPr>
              <w:jc w:val="both"/>
              <w:rPr>
                <w:rFonts w:eastAsia="Times New Roman" w:cstheme="minorHAnsi"/>
                <w:lang w:val="nl-BE"/>
              </w:rPr>
            </w:pPr>
            <w:r w:rsidRPr="0069784D">
              <w:rPr>
                <w:i/>
                <w:iCs/>
                <w:lang w:val="nl-BE"/>
              </w:rPr>
              <w:t>§ 4.</w:t>
            </w:r>
            <w:r w:rsidRPr="0069784D">
              <w:rPr>
                <w:lang w:val="nl-BE"/>
              </w:rPr>
              <w:t xml:space="preserve"> </w:t>
            </w:r>
            <w:r w:rsidRPr="0069784D">
              <w:rPr>
                <w:i/>
                <w:iCs/>
                <w:lang w:val="nl-BE"/>
              </w:rPr>
              <w:t>Elke inbreuk op de beschikking van het vonnis of arrest dat de sluiting van een inrichting beveelt met toepassing van de artikelen bedoeld in § 3, wordt gestraft met gevangenisstraf van drie maanden tot drie jaar en met geldboete van duizend [euro] tot vijfduizend [euro] of met een van die straffen alleen.</w:t>
            </w:r>
          </w:p>
        </w:tc>
        <w:tc>
          <w:tcPr>
            <w:tcW w:w="4508" w:type="dxa"/>
            <w:tcBorders>
              <w:top w:val="single" w:sz="4" w:space="0" w:color="auto"/>
              <w:left w:val="single" w:sz="4" w:space="0" w:color="auto"/>
              <w:bottom w:val="single" w:sz="4" w:space="0" w:color="auto"/>
              <w:right w:val="single" w:sz="4" w:space="0" w:color="auto"/>
            </w:tcBorders>
            <w:hideMark/>
          </w:tcPr>
          <w:p w14:paraId="7F2985BC" w14:textId="0BFD48AF" w:rsidR="00055403" w:rsidRPr="0069784D" w:rsidRDefault="00062910" w:rsidP="009C15CF">
            <w:pPr>
              <w:jc w:val="both"/>
              <w:rPr>
                <w:i/>
                <w:iCs/>
                <w:lang w:val="nl-BE"/>
              </w:rPr>
            </w:pPr>
            <w:r w:rsidRPr="0069784D">
              <w:rPr>
                <w:i/>
                <w:iCs/>
                <w:lang w:val="nl-BE"/>
              </w:rPr>
              <w:t>Niet-naleving van een straf bestaande uit een verbod is het overtreden van een van de volgende straffen:</w:t>
            </w:r>
          </w:p>
          <w:p w14:paraId="0A02E909" w14:textId="77777777" w:rsidR="00055403" w:rsidRPr="0069784D" w:rsidRDefault="00062910" w:rsidP="009C15CF">
            <w:pPr>
              <w:jc w:val="both"/>
              <w:rPr>
                <w:i/>
                <w:iCs/>
                <w:lang w:val="nl-BE"/>
              </w:rPr>
            </w:pPr>
            <w:r w:rsidRPr="0069784D">
              <w:rPr>
                <w:i/>
                <w:iCs/>
                <w:lang w:val="nl-BE"/>
              </w:rPr>
              <w:t>1° de sluiting van de inrichting, zoals bedoeld in artikel 417/57;</w:t>
            </w:r>
            <w:r w:rsidRPr="0069784D">
              <w:rPr>
                <w:i/>
                <w:iCs/>
                <w:lang w:val="nl-BE"/>
              </w:rPr>
              <w:cr/>
            </w:r>
          </w:p>
          <w:p w14:paraId="21E54E85" w14:textId="77777777" w:rsidR="00055403" w:rsidRPr="0069784D" w:rsidRDefault="00062910" w:rsidP="009C15CF">
            <w:pPr>
              <w:jc w:val="both"/>
              <w:rPr>
                <w:i/>
                <w:iCs/>
                <w:lang w:val="nl-BE"/>
              </w:rPr>
            </w:pPr>
            <w:r w:rsidRPr="0069784D">
              <w:rPr>
                <w:i/>
                <w:iCs/>
                <w:lang w:val="nl-BE"/>
              </w:rPr>
              <w:t>2° het verblijfs-, plaats- of contactverbod, zoals bedoeld in artikel 417/58;</w:t>
            </w:r>
            <w:r w:rsidRPr="0069784D">
              <w:rPr>
                <w:i/>
                <w:iCs/>
                <w:lang w:val="nl-BE"/>
              </w:rPr>
              <w:cr/>
            </w:r>
          </w:p>
          <w:p w14:paraId="2341A864" w14:textId="5FD24D1E" w:rsidR="00062910" w:rsidRPr="0069784D" w:rsidRDefault="00062910" w:rsidP="009C15CF">
            <w:pPr>
              <w:jc w:val="both"/>
              <w:rPr>
                <w:lang w:val="nl-BE"/>
              </w:rPr>
            </w:pPr>
            <w:r w:rsidRPr="0069784D">
              <w:rPr>
                <w:i/>
                <w:iCs/>
                <w:lang w:val="nl-BE"/>
              </w:rPr>
              <w:t>3° specifieke verboden en ontzettingen, zoals bedoeld in artikel 417/59.</w:t>
            </w:r>
          </w:p>
          <w:p w14:paraId="547903B9" w14:textId="77777777" w:rsidR="00055403" w:rsidRPr="0069784D" w:rsidRDefault="00055403" w:rsidP="009C15CF">
            <w:pPr>
              <w:jc w:val="both"/>
              <w:rPr>
                <w:lang w:val="nl-BE"/>
              </w:rPr>
            </w:pPr>
          </w:p>
          <w:p w14:paraId="28E5BFE6" w14:textId="0EDA0BD6" w:rsidR="00062910" w:rsidRPr="0069784D" w:rsidRDefault="00062910" w:rsidP="009C15CF">
            <w:pPr>
              <w:jc w:val="both"/>
              <w:rPr>
                <w:rFonts w:eastAsia="Times New Roman" w:cstheme="minorHAnsi"/>
                <w:lang w:val="nl-BE"/>
              </w:rPr>
            </w:pPr>
            <w:r w:rsidRPr="0069784D">
              <w:rPr>
                <w:i/>
                <w:iCs/>
                <w:lang w:val="nl-BE"/>
              </w:rPr>
              <w:t>Dit misdrijf wordt bestraft met een gevangenisstraf van een tot drie jaar en met geldboete van duizend tot vijfduizend euro of met een van die straffen alleen.</w:t>
            </w:r>
          </w:p>
        </w:tc>
      </w:tr>
    </w:tbl>
    <w:p w14:paraId="394B9FCF" w14:textId="77777777" w:rsidR="00062910" w:rsidRPr="0069784D" w:rsidRDefault="00062910" w:rsidP="009C15CF">
      <w:pPr>
        <w:jc w:val="both"/>
        <w:rPr>
          <w:lang w:val="nl-BE"/>
        </w:rPr>
      </w:pPr>
    </w:p>
    <w:p w14:paraId="253E9886" w14:textId="778471C8" w:rsidR="00062910" w:rsidRPr="0069784D" w:rsidRDefault="00055403" w:rsidP="009C15CF">
      <w:pPr>
        <w:jc w:val="both"/>
        <w:rPr>
          <w:rFonts w:eastAsia="Times New Roman" w:cstheme="minorHAnsi"/>
          <w:bCs/>
          <w:lang w:val="nl-BE"/>
        </w:rPr>
      </w:pPr>
      <w:r w:rsidRPr="0069784D">
        <w:rPr>
          <w:lang w:val="nl-BE"/>
        </w:rPr>
        <w:t>Volgende elementen kunnen opgemerkt worden:</w:t>
      </w:r>
      <w:r w:rsidR="00062910" w:rsidRPr="0069784D">
        <w:rPr>
          <w:lang w:val="nl-BE"/>
        </w:rPr>
        <w:t xml:space="preserve"> </w:t>
      </w:r>
    </w:p>
    <w:p w14:paraId="6D6E1BBA" w14:textId="2D6ADBF1" w:rsidR="00062910" w:rsidRPr="0069784D" w:rsidRDefault="00055403" w:rsidP="009C15CF">
      <w:pPr>
        <w:pStyle w:val="ListParagraph"/>
        <w:numPr>
          <w:ilvl w:val="0"/>
          <w:numId w:val="9"/>
        </w:numPr>
        <w:spacing w:line="256" w:lineRule="auto"/>
        <w:jc w:val="both"/>
        <w:rPr>
          <w:rFonts w:eastAsia="Times New Roman" w:cstheme="minorHAnsi"/>
          <w:bCs/>
          <w:lang w:val="nl-BE"/>
        </w:rPr>
      </w:pPr>
      <w:r w:rsidRPr="0069784D">
        <w:rPr>
          <w:lang w:val="nl-BE"/>
        </w:rPr>
        <w:t>De</w:t>
      </w:r>
      <w:r w:rsidR="00062910" w:rsidRPr="0069784D">
        <w:rPr>
          <w:lang w:val="nl-BE"/>
        </w:rPr>
        <w:t xml:space="preserve"> straffen </w:t>
      </w:r>
      <w:r w:rsidRPr="0069784D">
        <w:rPr>
          <w:lang w:val="nl-BE"/>
        </w:rPr>
        <w:t xml:space="preserve">worden </w:t>
      </w:r>
      <w:r w:rsidR="00062910" w:rsidRPr="0069784D">
        <w:rPr>
          <w:lang w:val="nl-BE"/>
        </w:rPr>
        <w:t xml:space="preserve">globaal verhoogd en </w:t>
      </w:r>
      <w:r w:rsidRPr="0069784D">
        <w:rPr>
          <w:lang w:val="nl-BE"/>
        </w:rPr>
        <w:t xml:space="preserve">maken </w:t>
      </w:r>
      <w:r w:rsidR="00062910" w:rsidRPr="0069784D">
        <w:rPr>
          <w:lang w:val="nl-BE"/>
        </w:rPr>
        <w:t>in alle gevallen de aflevering van een aanhoudingsbevel mogelijk</w:t>
      </w:r>
      <w:r w:rsidRPr="0069784D">
        <w:rPr>
          <w:lang w:val="nl-BE"/>
        </w:rPr>
        <w:t>.</w:t>
      </w:r>
    </w:p>
    <w:p w14:paraId="342AA09D" w14:textId="063277F5" w:rsidR="00062910" w:rsidRPr="0069784D" w:rsidRDefault="003F10E9" w:rsidP="009C15CF">
      <w:pPr>
        <w:pStyle w:val="ListParagraph"/>
        <w:numPr>
          <w:ilvl w:val="0"/>
          <w:numId w:val="9"/>
        </w:numPr>
        <w:spacing w:line="256" w:lineRule="auto"/>
        <w:jc w:val="both"/>
        <w:rPr>
          <w:rFonts w:eastAsia="Times New Roman" w:cstheme="minorHAnsi"/>
          <w:bCs/>
          <w:lang w:val="nl-BE"/>
        </w:rPr>
      </w:pPr>
      <w:r>
        <w:rPr>
          <w:lang w:val="nl-BE"/>
        </w:rPr>
        <w:t>H</w:t>
      </w:r>
      <w:r w:rsidR="00062910" w:rsidRPr="0069784D">
        <w:rPr>
          <w:lang w:val="nl-BE"/>
        </w:rPr>
        <w:t xml:space="preserve">et nieuwe artikel 417/60 </w:t>
      </w:r>
      <w:r w:rsidR="007D167A">
        <w:rPr>
          <w:lang w:val="nl-BE"/>
        </w:rPr>
        <w:t>viseert niet</w:t>
      </w:r>
      <w:r w:rsidR="00055403" w:rsidRPr="0069784D">
        <w:rPr>
          <w:lang w:val="nl-BE"/>
        </w:rPr>
        <w:t xml:space="preserve"> het misdrijf ‘</w:t>
      </w:r>
      <w:r w:rsidR="00062910" w:rsidRPr="0069784D">
        <w:rPr>
          <w:lang w:val="nl-BE"/>
        </w:rPr>
        <w:t>pooierschap ten aanzien van meerderjarigen</w:t>
      </w:r>
      <w:r w:rsidR="00055403" w:rsidRPr="0069784D">
        <w:rPr>
          <w:lang w:val="nl-BE"/>
        </w:rPr>
        <w:t>’</w:t>
      </w:r>
      <w:r w:rsidR="007D167A">
        <w:rPr>
          <w:lang w:val="nl-BE"/>
        </w:rPr>
        <w:t xml:space="preserve">, </w:t>
      </w:r>
      <w:r w:rsidR="00062910" w:rsidRPr="0069784D">
        <w:rPr>
          <w:lang w:val="nl-BE"/>
        </w:rPr>
        <w:t>omdat dit misdrijf werd opgenomen in een apart hoofdstuk.</w:t>
      </w:r>
    </w:p>
    <w:p w14:paraId="62606C31" w14:textId="77777777" w:rsidR="00062910" w:rsidRPr="0069784D" w:rsidRDefault="00062910" w:rsidP="009C15CF">
      <w:pPr>
        <w:jc w:val="both"/>
        <w:rPr>
          <w:rFonts w:eastAsia="Times New Roman" w:cstheme="minorHAnsi"/>
          <w:bCs/>
          <w:color w:val="5B9BD5" w:themeColor="accent1"/>
          <w:lang w:val="nl-BE" w:eastAsia="en-GB"/>
        </w:rPr>
      </w:pPr>
    </w:p>
    <w:p w14:paraId="282386BE" w14:textId="23D3E906" w:rsidR="00062910" w:rsidRPr="0069784D" w:rsidRDefault="00062910" w:rsidP="009C15CF">
      <w:pPr>
        <w:pStyle w:val="Heading3"/>
        <w:jc w:val="both"/>
        <w:rPr>
          <w:rFonts w:asciiTheme="minorHAnsi" w:hAnsiTheme="minorHAnsi" w:cstheme="minorHAnsi"/>
          <w:color w:val="auto"/>
          <w:sz w:val="28"/>
          <w:szCs w:val="28"/>
          <w:lang w:val="nl-BE"/>
        </w:rPr>
      </w:pPr>
      <w:bookmarkStart w:id="40" w:name="_Toc104923489"/>
      <w:r w:rsidRPr="0069784D">
        <w:rPr>
          <w:rFonts w:asciiTheme="minorHAnsi" w:hAnsiTheme="minorHAnsi"/>
          <w:color w:val="auto"/>
          <w:sz w:val="28"/>
          <w:lang w:val="nl-BE"/>
        </w:rPr>
        <w:t>Artikel 417/61</w:t>
      </w:r>
      <w:r w:rsidR="00055403" w:rsidRPr="0069784D">
        <w:rPr>
          <w:rFonts w:asciiTheme="minorHAnsi" w:hAnsiTheme="minorHAnsi"/>
          <w:color w:val="auto"/>
          <w:sz w:val="28"/>
          <w:lang w:val="nl-BE"/>
        </w:rPr>
        <w:t xml:space="preserve"> - S</w:t>
      </w:r>
      <w:r w:rsidRPr="0069784D">
        <w:rPr>
          <w:rFonts w:asciiTheme="minorHAnsi" w:hAnsiTheme="minorHAnsi"/>
          <w:color w:val="auto"/>
          <w:sz w:val="28"/>
          <w:lang w:val="nl-BE"/>
        </w:rPr>
        <w:t>amenloop</w:t>
      </w:r>
      <w:bookmarkEnd w:id="40"/>
    </w:p>
    <w:p w14:paraId="75F4F2EC" w14:textId="77777777" w:rsidR="00062910" w:rsidRPr="0069784D" w:rsidRDefault="00062910" w:rsidP="009C15CF">
      <w:pPr>
        <w:jc w:val="both"/>
        <w:rPr>
          <w:lang w:val="nl-BE"/>
        </w:rPr>
      </w:pPr>
    </w:p>
    <w:p w14:paraId="51184803" w14:textId="6DE0DE63" w:rsidR="00062910" w:rsidRPr="0069784D" w:rsidRDefault="00062910" w:rsidP="009C15CF">
      <w:pPr>
        <w:jc w:val="both"/>
        <w:rPr>
          <w:i/>
          <w:lang w:val="nl-BE"/>
        </w:rPr>
      </w:pPr>
      <w:r w:rsidRPr="0069784D">
        <w:rPr>
          <w:lang w:val="nl-BE"/>
        </w:rPr>
        <w:t>Artikel 417/61 luidt als volgt: “</w:t>
      </w:r>
      <w:r w:rsidR="007D167A" w:rsidRPr="007D167A">
        <w:rPr>
          <w:i/>
          <w:lang w:val="nl-BE"/>
        </w:rPr>
        <w:t>De straffen bedoeld in de artikelen 417/57 en 417/59 kunnen ook worden uitgesproken bij toepassing van de artikelen 62 of 65 wat een veroordeling met zich meebrengt op basis van misdrijven die samenlopen met deze bedoeld in dit hoofdstuk</w:t>
      </w:r>
      <w:r w:rsidRPr="0069784D">
        <w:rPr>
          <w:i/>
          <w:iCs/>
          <w:lang w:val="nl-BE"/>
        </w:rPr>
        <w:t>.</w:t>
      </w:r>
      <w:r w:rsidRPr="0069784D">
        <w:rPr>
          <w:lang w:val="nl-BE"/>
        </w:rPr>
        <w:t>”</w:t>
      </w:r>
    </w:p>
    <w:p w14:paraId="2B8F73BB" w14:textId="77407905" w:rsidR="00062910" w:rsidRPr="0069784D" w:rsidRDefault="007D167A" w:rsidP="009C15CF">
      <w:pPr>
        <w:jc w:val="both"/>
        <w:rPr>
          <w:lang w:val="nl-BE"/>
        </w:rPr>
      </w:pPr>
      <w:r w:rsidRPr="00C15E29">
        <w:rPr>
          <w:lang w:val="nl-BE"/>
        </w:rPr>
        <w:t>Door de toepassing v</w:t>
      </w:r>
      <w:r>
        <w:rPr>
          <w:lang w:val="nl-BE"/>
        </w:rPr>
        <w:t>an de bestraffingsregel bij samenloop van misdrijven, ka</w:t>
      </w:r>
      <w:r w:rsidR="00062910" w:rsidRPr="0069784D">
        <w:rPr>
          <w:lang w:val="nl-BE"/>
        </w:rPr>
        <w:t xml:space="preserve">n de rechter de </w:t>
      </w:r>
      <w:r w:rsidR="0015562D" w:rsidRPr="0069784D">
        <w:rPr>
          <w:lang w:val="nl-BE"/>
        </w:rPr>
        <w:t xml:space="preserve">bijkomende straffen </w:t>
      </w:r>
      <w:r>
        <w:rPr>
          <w:lang w:val="nl-BE"/>
        </w:rPr>
        <w:t>die zijn voorzien bij de lager bestrafte</w:t>
      </w:r>
      <w:r w:rsidRPr="0069784D">
        <w:rPr>
          <w:lang w:val="nl-BE"/>
        </w:rPr>
        <w:t xml:space="preserve"> </w:t>
      </w:r>
      <w:r w:rsidR="00062910" w:rsidRPr="0069784D">
        <w:rPr>
          <w:lang w:val="nl-BE"/>
        </w:rPr>
        <w:t xml:space="preserve">misdrijven </w:t>
      </w:r>
      <w:r w:rsidR="0015562D" w:rsidRPr="0069784D">
        <w:rPr>
          <w:lang w:val="nl-BE"/>
        </w:rPr>
        <w:t>niet opleggen</w:t>
      </w:r>
      <w:r w:rsidR="00062910" w:rsidRPr="0069784D">
        <w:rPr>
          <w:lang w:val="nl-BE"/>
        </w:rPr>
        <w:t xml:space="preserve"> </w:t>
      </w:r>
      <w:r w:rsidR="0015562D" w:rsidRPr="0069784D">
        <w:rPr>
          <w:lang w:val="nl-BE"/>
        </w:rPr>
        <w:t xml:space="preserve">wanneer </w:t>
      </w:r>
      <w:r w:rsidRPr="007D167A">
        <w:rPr>
          <w:lang w:val="nl-NL"/>
        </w:rPr>
        <w:t>deze niet zijn voorzien voor het zwaarst bestrafte misdrijf</w:t>
      </w:r>
      <w:r>
        <w:rPr>
          <w:lang w:val="nl-BE"/>
        </w:rPr>
        <w:t>.</w:t>
      </w:r>
    </w:p>
    <w:p w14:paraId="1DBC14FA" w14:textId="048F4B46" w:rsidR="007D167A" w:rsidRDefault="007D167A" w:rsidP="009C15CF">
      <w:pPr>
        <w:jc w:val="both"/>
        <w:rPr>
          <w:b/>
          <w:bCs/>
          <w:lang w:val="nl-BE"/>
        </w:rPr>
      </w:pPr>
      <w:r w:rsidRPr="00E66762">
        <w:rPr>
          <w:lang w:val="nl-BE"/>
        </w:rPr>
        <w:lastRenderedPageBreak/>
        <w:t>Van deze regel wordt door d</w:t>
      </w:r>
      <w:r>
        <w:rPr>
          <w:lang w:val="nl-BE"/>
        </w:rPr>
        <w:t>e nieuwe wet afgeweken</w:t>
      </w:r>
      <w:r>
        <w:rPr>
          <w:b/>
          <w:bCs/>
          <w:lang w:val="nl-BE"/>
        </w:rPr>
        <w:t>.</w:t>
      </w:r>
    </w:p>
    <w:p w14:paraId="71F6737D" w14:textId="2BC6A908" w:rsidR="00062910" w:rsidRPr="0069784D" w:rsidRDefault="00062910" w:rsidP="009C15CF">
      <w:pPr>
        <w:jc w:val="both"/>
        <w:rPr>
          <w:lang w:val="nl-BE"/>
        </w:rPr>
      </w:pPr>
      <w:r w:rsidRPr="0069784D">
        <w:rPr>
          <w:b/>
          <w:bCs/>
          <w:lang w:val="nl-BE"/>
        </w:rPr>
        <w:t xml:space="preserve">Op grond van artikel 417/61 kan de rechter voortaan de inrichting sluiten en verboden en ontzettingen </w:t>
      </w:r>
      <w:r w:rsidR="0015562D" w:rsidRPr="0069784D">
        <w:rPr>
          <w:b/>
          <w:bCs/>
          <w:lang w:val="nl-BE"/>
        </w:rPr>
        <w:t>opleggen</w:t>
      </w:r>
      <w:r w:rsidRPr="0069784D">
        <w:rPr>
          <w:b/>
          <w:bCs/>
          <w:lang w:val="nl-BE"/>
        </w:rPr>
        <w:t xml:space="preserve"> </w:t>
      </w:r>
      <w:r w:rsidR="007D167A">
        <w:rPr>
          <w:b/>
          <w:bCs/>
          <w:lang w:val="nl-BE"/>
        </w:rPr>
        <w:t>in geval</w:t>
      </w:r>
      <w:r w:rsidRPr="0069784D">
        <w:rPr>
          <w:b/>
          <w:bCs/>
          <w:lang w:val="nl-BE"/>
        </w:rPr>
        <w:t xml:space="preserve"> er sprake is van samenloop met andere zwaarder bestrafte misdrijven</w:t>
      </w:r>
      <w:r w:rsidRPr="0069784D">
        <w:rPr>
          <w:lang w:val="nl-BE"/>
        </w:rPr>
        <w:t xml:space="preserve"> </w:t>
      </w:r>
      <w:r w:rsidRPr="003F10E9">
        <w:rPr>
          <w:rStyle w:val="Emphasis"/>
          <w:i w:val="0"/>
          <w:iCs w:val="0"/>
          <w:lang w:val="nl-BE"/>
        </w:rPr>
        <w:t>waarv</w:t>
      </w:r>
      <w:r w:rsidR="0015562D" w:rsidRPr="003F10E9">
        <w:rPr>
          <w:rStyle w:val="Emphasis"/>
          <w:i w:val="0"/>
          <w:iCs w:val="0"/>
          <w:lang w:val="nl-BE"/>
        </w:rPr>
        <w:t>oor</w:t>
      </w:r>
      <w:r w:rsidRPr="0069784D">
        <w:rPr>
          <w:rStyle w:val="Emphasis"/>
          <w:lang w:val="nl-BE"/>
        </w:rPr>
        <w:t xml:space="preserve"> </w:t>
      </w:r>
      <w:r w:rsidR="007D167A" w:rsidRPr="00E66762">
        <w:rPr>
          <w:lang w:val="nl-BE"/>
        </w:rPr>
        <w:t>deze bijkomende straffen n</w:t>
      </w:r>
      <w:r w:rsidR="007D167A">
        <w:rPr>
          <w:lang w:val="nl-BE"/>
        </w:rPr>
        <w:t>iet werden voorzien</w:t>
      </w:r>
      <w:r w:rsidRPr="0069784D">
        <w:rPr>
          <w:lang w:val="nl-BE"/>
        </w:rPr>
        <w:t>.</w:t>
      </w:r>
    </w:p>
    <w:p w14:paraId="16B97102" w14:textId="532D1945" w:rsidR="00062910" w:rsidRPr="0069784D" w:rsidRDefault="00062910" w:rsidP="009C15CF">
      <w:pPr>
        <w:jc w:val="both"/>
        <w:rPr>
          <w:lang w:val="nl-BE"/>
        </w:rPr>
      </w:pPr>
      <w:r w:rsidRPr="0069784D">
        <w:rPr>
          <w:lang w:val="nl-BE"/>
        </w:rPr>
        <w:t xml:space="preserve">De wetgever </w:t>
      </w:r>
      <w:r w:rsidR="00F34B90" w:rsidRPr="00071E62">
        <w:rPr>
          <w:lang w:val="nl-BE"/>
        </w:rPr>
        <w:t>voorzag i</w:t>
      </w:r>
      <w:r w:rsidR="00F34B90">
        <w:rPr>
          <w:lang w:val="nl-BE"/>
        </w:rPr>
        <w:t>n het kader van deze uitzondering op de regels van de samenloop evenwel niet het</w:t>
      </w:r>
      <w:r w:rsidR="00F34B90" w:rsidRPr="0069784D">
        <w:rPr>
          <w:lang w:val="nl-BE"/>
        </w:rPr>
        <w:t xml:space="preserve"> </w:t>
      </w:r>
      <w:r w:rsidRPr="0069784D">
        <w:rPr>
          <w:lang w:val="nl-BE"/>
        </w:rPr>
        <w:t xml:space="preserve">artikel 417/58 inzake het verblijfs-, plaats- of contactverbod. </w:t>
      </w:r>
    </w:p>
    <w:p w14:paraId="63311119" w14:textId="77777777" w:rsidR="00062910" w:rsidRPr="0069784D" w:rsidRDefault="00062910" w:rsidP="009C15CF">
      <w:pPr>
        <w:jc w:val="both"/>
        <w:rPr>
          <w:rFonts w:eastAsia="Times New Roman" w:cstheme="minorHAnsi"/>
          <w:bCs/>
          <w:color w:val="5B9BD5" w:themeColor="accent1"/>
          <w:lang w:val="nl-BE" w:eastAsia="en-GB"/>
        </w:rPr>
      </w:pPr>
    </w:p>
    <w:p w14:paraId="6C69CED6" w14:textId="61C6507C" w:rsidR="00062910" w:rsidRPr="0069784D" w:rsidRDefault="00062910" w:rsidP="009C15CF">
      <w:pPr>
        <w:pStyle w:val="Heading3"/>
        <w:jc w:val="both"/>
        <w:rPr>
          <w:rFonts w:asciiTheme="minorHAnsi" w:hAnsiTheme="minorHAnsi" w:cstheme="minorHAnsi"/>
          <w:color w:val="auto"/>
          <w:sz w:val="28"/>
          <w:szCs w:val="28"/>
          <w:lang w:val="nl-BE"/>
        </w:rPr>
      </w:pPr>
      <w:bookmarkStart w:id="41" w:name="_Toc104923490"/>
      <w:r w:rsidRPr="0069784D">
        <w:rPr>
          <w:rFonts w:asciiTheme="minorHAnsi" w:hAnsiTheme="minorHAnsi"/>
          <w:color w:val="auto"/>
          <w:sz w:val="28"/>
          <w:lang w:val="nl-BE"/>
        </w:rPr>
        <w:t>Artikel 417/62</w:t>
      </w:r>
      <w:r w:rsidR="0015562D" w:rsidRPr="0069784D">
        <w:rPr>
          <w:rFonts w:asciiTheme="minorHAnsi" w:hAnsiTheme="minorHAnsi"/>
          <w:color w:val="auto"/>
          <w:sz w:val="28"/>
          <w:lang w:val="nl-BE"/>
        </w:rPr>
        <w:t xml:space="preserve"> - </w:t>
      </w:r>
      <w:r w:rsidRPr="0069784D">
        <w:rPr>
          <w:rFonts w:asciiTheme="minorHAnsi" w:hAnsiTheme="minorHAnsi"/>
          <w:color w:val="auto"/>
          <w:sz w:val="28"/>
          <w:lang w:val="nl-BE"/>
        </w:rPr>
        <w:t xml:space="preserve">Overzending </w:t>
      </w:r>
      <w:r w:rsidR="0015562D" w:rsidRPr="0069784D">
        <w:rPr>
          <w:rFonts w:asciiTheme="minorHAnsi" w:hAnsiTheme="minorHAnsi"/>
          <w:color w:val="auto"/>
          <w:sz w:val="28"/>
          <w:lang w:val="nl-BE"/>
        </w:rPr>
        <w:t xml:space="preserve">van een </w:t>
      </w:r>
      <w:r w:rsidRPr="0069784D">
        <w:rPr>
          <w:rFonts w:asciiTheme="minorHAnsi" w:hAnsiTheme="minorHAnsi"/>
          <w:color w:val="auto"/>
          <w:sz w:val="28"/>
          <w:lang w:val="nl-BE"/>
        </w:rPr>
        <w:t>rechterlijke beslissing</w:t>
      </w:r>
      <w:bookmarkEnd w:id="41"/>
    </w:p>
    <w:p w14:paraId="3230D105" w14:textId="77777777" w:rsidR="00062910" w:rsidRPr="0069784D" w:rsidRDefault="00062910" w:rsidP="009C15CF">
      <w:pPr>
        <w:jc w:val="both"/>
        <w:rPr>
          <w:lang w:val="nl-BE"/>
        </w:rPr>
      </w:pPr>
    </w:p>
    <w:p w14:paraId="15CF683D" w14:textId="6DF6FF25" w:rsidR="00062910" w:rsidRPr="0069784D" w:rsidRDefault="00062910" w:rsidP="009C15CF">
      <w:pPr>
        <w:jc w:val="both"/>
        <w:rPr>
          <w:rFonts w:eastAsia="Times New Roman" w:cstheme="minorHAnsi"/>
          <w:bCs/>
          <w:lang w:val="nl-BE"/>
        </w:rPr>
      </w:pPr>
      <w:r w:rsidRPr="0069784D">
        <w:rPr>
          <w:lang w:val="nl-BE"/>
        </w:rPr>
        <w:t>In artikel 417/62 w</w:t>
      </w:r>
      <w:r w:rsidR="0015562D" w:rsidRPr="0069784D">
        <w:rPr>
          <w:lang w:val="nl-BE"/>
        </w:rPr>
        <w:t>ordt</w:t>
      </w:r>
      <w:r w:rsidRPr="0069784D">
        <w:rPr>
          <w:lang w:val="nl-BE"/>
        </w:rPr>
        <w:t xml:space="preserve"> het vroegere artikel 382quater nagenoeg </w:t>
      </w:r>
      <w:r w:rsidR="0015562D" w:rsidRPr="0069784D">
        <w:rPr>
          <w:lang w:val="nl-BE"/>
        </w:rPr>
        <w:t>woordelijk</w:t>
      </w:r>
      <w:r w:rsidRPr="0069784D">
        <w:rPr>
          <w:lang w:val="nl-BE"/>
        </w:rPr>
        <w:t xml:space="preserve"> overgenomen. Het toepassingsgebied </w:t>
      </w:r>
      <w:r w:rsidR="0015562D" w:rsidRPr="0069784D">
        <w:rPr>
          <w:lang w:val="nl-BE"/>
        </w:rPr>
        <w:t>wordt</w:t>
      </w:r>
      <w:r w:rsidRPr="0069784D">
        <w:rPr>
          <w:lang w:val="nl-BE"/>
        </w:rPr>
        <w:t xml:space="preserve"> uitgebreid</w:t>
      </w:r>
      <w:r w:rsidR="0015562D" w:rsidRPr="0069784D">
        <w:rPr>
          <w:lang w:val="nl-BE"/>
        </w:rPr>
        <w:t>,</w:t>
      </w:r>
      <w:r w:rsidRPr="0069784D">
        <w:rPr>
          <w:lang w:val="nl-BE"/>
        </w:rPr>
        <w:t xml:space="preserve"> </w:t>
      </w:r>
      <w:r w:rsidR="00F34B90">
        <w:rPr>
          <w:lang w:val="nl-BE"/>
        </w:rPr>
        <w:t>gezien er</w:t>
      </w:r>
      <w:r w:rsidRPr="0069784D">
        <w:rPr>
          <w:lang w:val="nl-BE"/>
        </w:rPr>
        <w:t xml:space="preserve"> in tegenstelling tot de vroegere bepaling </w:t>
      </w:r>
      <w:r w:rsidR="00F34B90">
        <w:rPr>
          <w:lang w:val="nl-BE"/>
        </w:rPr>
        <w:t>voortaan wordt</w:t>
      </w:r>
      <w:r w:rsidR="0015562D" w:rsidRPr="0069784D">
        <w:rPr>
          <w:lang w:val="nl-BE"/>
        </w:rPr>
        <w:t xml:space="preserve"> </w:t>
      </w:r>
      <w:r w:rsidRPr="0069784D">
        <w:rPr>
          <w:lang w:val="nl-BE"/>
        </w:rPr>
        <w:t xml:space="preserve">verwezen naar de misdrijven inzake beelden van seksueel misbruik van minderjarigen, beelden van extreem gewelddadige of pornografische aard en exhibitionisme. Daarentegen is </w:t>
      </w:r>
      <w:r w:rsidR="00F34B90" w:rsidRPr="00071E62">
        <w:rPr>
          <w:lang w:val="nl-BE"/>
        </w:rPr>
        <w:t>dit artikel niet v</w:t>
      </w:r>
      <w:r w:rsidR="00F34B90">
        <w:rPr>
          <w:lang w:val="nl-BE"/>
        </w:rPr>
        <w:t>an toepassing op</w:t>
      </w:r>
      <w:r w:rsidR="00F34B90" w:rsidRPr="0069784D">
        <w:rPr>
          <w:lang w:val="nl-BE"/>
        </w:rPr>
        <w:t xml:space="preserve"> </w:t>
      </w:r>
      <w:r w:rsidRPr="0069784D">
        <w:rPr>
          <w:lang w:val="nl-BE"/>
        </w:rPr>
        <w:t xml:space="preserve">pooierschap ten aanzien van meerderjarigen omdat dit aan bod komt in een apart hoofdstuk. </w:t>
      </w:r>
    </w:p>
    <w:p w14:paraId="50DEA135" w14:textId="2DA93060" w:rsidR="00062910" w:rsidRPr="0069784D" w:rsidRDefault="00062910" w:rsidP="009C15CF">
      <w:pPr>
        <w:jc w:val="both"/>
        <w:rPr>
          <w:rFonts w:eastAsia="Times New Roman" w:cstheme="minorHAnsi"/>
          <w:bCs/>
          <w:lang w:val="nl-BE"/>
        </w:rPr>
      </w:pPr>
      <w:r w:rsidRPr="0069784D">
        <w:rPr>
          <w:lang w:val="nl-BE"/>
        </w:rPr>
        <w:t>De overzending van een rechterlijke beslissing werd v</w:t>
      </w:r>
      <w:r w:rsidR="00F34B90">
        <w:rPr>
          <w:lang w:val="nl-BE"/>
        </w:rPr>
        <w:t>oorzien</w:t>
      </w:r>
      <w:r w:rsidRPr="0069784D">
        <w:rPr>
          <w:lang w:val="nl-BE"/>
        </w:rPr>
        <w:t xml:space="preserve"> overeenkomstig de internationale verplichtingen ter</w:t>
      </w:r>
      <w:r w:rsidR="0015562D" w:rsidRPr="0069784D">
        <w:rPr>
          <w:lang w:val="nl-BE"/>
        </w:rPr>
        <w:t xml:space="preserve"> </w:t>
      </w:r>
      <w:r w:rsidRPr="0069784D">
        <w:rPr>
          <w:lang w:val="nl-BE"/>
        </w:rPr>
        <w:t xml:space="preserve">zake. De bedoeling </w:t>
      </w:r>
      <w:r w:rsidR="0015562D" w:rsidRPr="0069784D">
        <w:rPr>
          <w:lang w:val="nl-BE"/>
        </w:rPr>
        <w:t xml:space="preserve">hiervan </w:t>
      </w:r>
      <w:r w:rsidRPr="0069784D">
        <w:rPr>
          <w:lang w:val="nl-BE"/>
        </w:rPr>
        <w:t xml:space="preserve">bestaat erin om het voor een werkgever mogelijk te maken om informatie </w:t>
      </w:r>
      <w:r w:rsidR="0015562D" w:rsidRPr="0069784D">
        <w:rPr>
          <w:lang w:val="nl-BE"/>
        </w:rPr>
        <w:t xml:space="preserve">op </w:t>
      </w:r>
      <w:r w:rsidRPr="0069784D">
        <w:rPr>
          <w:lang w:val="nl-BE"/>
        </w:rPr>
        <w:t>te vragen over het bestaan van strafrechtelijke veroordelingen en om te voorkomen dat een persoon die werd veroordeeld wegens feiten van pedofilie zich beroept op het recht van vrij verkeer van werknemers in de Europese Unie om op die manier in een ander land met kinderen te kunnen werken. De</w:t>
      </w:r>
      <w:r w:rsidR="0015562D" w:rsidRPr="0069784D">
        <w:rPr>
          <w:lang w:val="nl-BE"/>
        </w:rPr>
        <w:t>ze</w:t>
      </w:r>
      <w:r w:rsidRPr="0069784D">
        <w:rPr>
          <w:lang w:val="nl-BE"/>
        </w:rPr>
        <w:t xml:space="preserve"> overzending van een rechterlijke beslissing is evenwel een facultatieve maatregel </w:t>
      </w:r>
      <w:r w:rsidR="00F34B90" w:rsidRPr="00B42F7F">
        <w:rPr>
          <w:lang w:val="nl-BE"/>
        </w:rPr>
        <w:t>waarover de rechter t</w:t>
      </w:r>
      <w:r w:rsidR="00F34B90">
        <w:rPr>
          <w:lang w:val="nl-BE"/>
        </w:rPr>
        <w:t>en gronde naar eigen appreciatie beslist</w:t>
      </w:r>
      <w:r w:rsidRPr="0069784D">
        <w:rPr>
          <w:rStyle w:val="FootnoteReference"/>
          <w:lang w:val="nl-BE"/>
        </w:rPr>
        <w:footnoteReference w:customMarkFollows="1" w:id="73"/>
        <w:t>73</w:t>
      </w:r>
      <w:r w:rsidRPr="0069784D">
        <w:rPr>
          <w:lang w:val="nl-BE"/>
        </w:rPr>
        <w:t>.</w:t>
      </w:r>
    </w:p>
    <w:p w14:paraId="07DB5F2D" w14:textId="77777777" w:rsidR="00062910" w:rsidRPr="0069784D" w:rsidRDefault="00062910" w:rsidP="009C15CF">
      <w:pPr>
        <w:jc w:val="both"/>
        <w:rPr>
          <w:rFonts w:eastAsia="Times New Roman" w:cstheme="minorHAnsi"/>
          <w:bCs/>
          <w:lang w:val="nl-BE" w:eastAsia="en-GB"/>
        </w:rPr>
      </w:pPr>
    </w:p>
    <w:p w14:paraId="05DEEA90" w14:textId="140D9254" w:rsidR="00062910" w:rsidRPr="0069784D" w:rsidRDefault="00062910" w:rsidP="009C15CF">
      <w:pPr>
        <w:pStyle w:val="Heading3"/>
        <w:jc w:val="both"/>
        <w:rPr>
          <w:rFonts w:asciiTheme="minorHAnsi" w:hAnsiTheme="minorHAnsi" w:cstheme="minorHAnsi"/>
          <w:color w:val="auto"/>
          <w:sz w:val="28"/>
          <w:szCs w:val="28"/>
          <w:lang w:val="nl-BE"/>
        </w:rPr>
      </w:pPr>
      <w:bookmarkStart w:id="42" w:name="_Toc104923491"/>
      <w:r w:rsidRPr="0069784D">
        <w:rPr>
          <w:rFonts w:asciiTheme="minorHAnsi" w:hAnsiTheme="minorHAnsi"/>
          <w:color w:val="auto"/>
          <w:sz w:val="28"/>
          <w:lang w:val="nl-BE"/>
        </w:rPr>
        <w:t>Artikel 417/63</w:t>
      </w:r>
      <w:r w:rsidR="0015562D" w:rsidRPr="0069784D">
        <w:rPr>
          <w:rFonts w:asciiTheme="minorHAnsi" w:hAnsiTheme="minorHAnsi"/>
          <w:color w:val="auto"/>
          <w:sz w:val="28"/>
          <w:lang w:val="nl-BE"/>
        </w:rPr>
        <w:t xml:space="preserve"> - </w:t>
      </w:r>
      <w:r w:rsidRPr="0069784D">
        <w:rPr>
          <w:rFonts w:asciiTheme="minorHAnsi" w:hAnsiTheme="minorHAnsi"/>
          <w:color w:val="auto"/>
          <w:sz w:val="28"/>
          <w:lang w:val="nl-BE"/>
        </w:rPr>
        <w:t xml:space="preserve">Bescherming </w:t>
      </w:r>
      <w:r w:rsidR="0015562D" w:rsidRPr="0069784D">
        <w:rPr>
          <w:rFonts w:asciiTheme="minorHAnsi" w:hAnsiTheme="minorHAnsi"/>
          <w:color w:val="auto"/>
          <w:sz w:val="28"/>
          <w:lang w:val="nl-BE"/>
        </w:rPr>
        <w:t xml:space="preserve">van de </w:t>
      </w:r>
      <w:r w:rsidRPr="0069784D">
        <w:rPr>
          <w:rFonts w:asciiTheme="minorHAnsi" w:hAnsiTheme="minorHAnsi"/>
          <w:color w:val="auto"/>
          <w:sz w:val="28"/>
          <w:lang w:val="nl-BE"/>
        </w:rPr>
        <w:t xml:space="preserve">identiteit </w:t>
      </w:r>
      <w:r w:rsidR="0015562D" w:rsidRPr="0069784D">
        <w:rPr>
          <w:rFonts w:asciiTheme="minorHAnsi" w:hAnsiTheme="minorHAnsi"/>
          <w:color w:val="auto"/>
          <w:sz w:val="28"/>
          <w:lang w:val="nl-BE"/>
        </w:rPr>
        <w:t xml:space="preserve">van het </w:t>
      </w:r>
      <w:r w:rsidRPr="0069784D">
        <w:rPr>
          <w:rFonts w:asciiTheme="minorHAnsi" w:hAnsiTheme="minorHAnsi"/>
          <w:color w:val="auto"/>
          <w:sz w:val="28"/>
          <w:lang w:val="nl-BE"/>
        </w:rPr>
        <w:t>slachtoffer</w:t>
      </w:r>
      <w:bookmarkEnd w:id="42"/>
    </w:p>
    <w:p w14:paraId="53D9460A" w14:textId="77777777" w:rsidR="00062910" w:rsidRPr="0069784D" w:rsidRDefault="00062910" w:rsidP="009C15CF">
      <w:pPr>
        <w:jc w:val="both"/>
        <w:rPr>
          <w:lang w:val="nl-BE"/>
        </w:rPr>
      </w:pPr>
    </w:p>
    <w:p w14:paraId="5160E285" w14:textId="62BD0A90" w:rsidR="00062910" w:rsidRPr="0069784D" w:rsidRDefault="00F34B90" w:rsidP="009C15CF">
      <w:pPr>
        <w:jc w:val="both"/>
        <w:rPr>
          <w:rFonts w:eastAsia="Times New Roman" w:cstheme="minorHAnsi"/>
          <w:bCs/>
          <w:lang w:val="nl-BE"/>
        </w:rPr>
      </w:pPr>
      <w:r w:rsidRPr="00B42F7F">
        <w:rPr>
          <w:lang w:val="nl-BE"/>
        </w:rPr>
        <w:t xml:space="preserve">Het nieuwe artikel </w:t>
      </w:r>
      <w:r>
        <w:rPr>
          <w:lang w:val="nl-BE"/>
        </w:rPr>
        <w:t xml:space="preserve">417/63 </w:t>
      </w:r>
      <w:r w:rsidRPr="00B42F7F">
        <w:rPr>
          <w:lang w:val="nl-BE"/>
        </w:rPr>
        <w:t>herneemt  de oude artikelen 378bis en 382quinquies van het Strafwetboek</w:t>
      </w:r>
      <w:r w:rsidR="00062910" w:rsidRPr="0069784D">
        <w:rPr>
          <w:lang w:val="nl-BE"/>
        </w:rPr>
        <w:t xml:space="preserve">, </w:t>
      </w:r>
      <w:r>
        <w:rPr>
          <w:lang w:val="nl-BE"/>
        </w:rPr>
        <w:t>maar is niet van toepassing op het nieuwe misdrijf</w:t>
      </w:r>
      <w:r w:rsidRPr="0069784D">
        <w:rPr>
          <w:lang w:val="nl-BE"/>
        </w:rPr>
        <w:t xml:space="preserve"> </w:t>
      </w:r>
      <w:r w:rsidR="008F772B" w:rsidRPr="0069784D">
        <w:rPr>
          <w:lang w:val="nl-BE"/>
        </w:rPr>
        <w:t>‘</w:t>
      </w:r>
      <w:r w:rsidR="00062910" w:rsidRPr="0069784D">
        <w:rPr>
          <w:lang w:val="nl-BE"/>
        </w:rPr>
        <w:t>pooierschap ten aanzien van meerderjarigen</w:t>
      </w:r>
      <w:r w:rsidR="008F772B" w:rsidRPr="0069784D">
        <w:rPr>
          <w:lang w:val="nl-BE"/>
        </w:rPr>
        <w:t>’,</w:t>
      </w:r>
      <w:r w:rsidR="00062910" w:rsidRPr="0069784D">
        <w:rPr>
          <w:lang w:val="nl-BE"/>
        </w:rPr>
        <w:t xml:space="preserve"> dat in een apart hoofdstuk aan bod komt.</w:t>
      </w:r>
    </w:p>
    <w:p w14:paraId="0CDEEFF2" w14:textId="76FCC926" w:rsidR="00062910" w:rsidRPr="0069784D" w:rsidRDefault="00062910" w:rsidP="009C15CF">
      <w:pPr>
        <w:jc w:val="both"/>
        <w:rPr>
          <w:i/>
          <w:iCs/>
          <w:lang w:val="nl-BE"/>
        </w:rPr>
      </w:pPr>
      <w:r w:rsidRPr="0069784D">
        <w:rPr>
          <w:lang w:val="nl-BE"/>
        </w:rPr>
        <w:t xml:space="preserve">In </w:t>
      </w:r>
      <w:r w:rsidR="008F772B" w:rsidRPr="0069784D">
        <w:rPr>
          <w:lang w:val="nl-BE"/>
        </w:rPr>
        <w:t>dit</w:t>
      </w:r>
      <w:r w:rsidRPr="0069784D">
        <w:rPr>
          <w:lang w:val="nl-BE"/>
        </w:rPr>
        <w:t xml:space="preserve"> artikel 417/63 werd het volgende toegevoegd: “</w:t>
      </w:r>
      <w:r w:rsidRPr="0069784D">
        <w:rPr>
          <w:i/>
          <w:iCs/>
          <w:lang w:val="nl-BE"/>
        </w:rPr>
        <w:t>Indien het slachtoffer minderjarig is, kan deze, noch de personen aan wie het ouderlijk gezag over de betrokkene is toevertrouwd, toestemming geven.</w:t>
      </w:r>
      <w:r w:rsidRPr="0069784D">
        <w:rPr>
          <w:lang w:val="nl-BE"/>
        </w:rPr>
        <w:t>”</w:t>
      </w:r>
    </w:p>
    <w:p w14:paraId="5FA7D268" w14:textId="14590313" w:rsidR="00062910" w:rsidRPr="0069784D" w:rsidRDefault="00062910" w:rsidP="009C15CF">
      <w:pPr>
        <w:jc w:val="both"/>
        <w:rPr>
          <w:rFonts w:eastAsia="Times New Roman" w:cstheme="minorHAnsi"/>
          <w:bCs/>
          <w:lang w:val="nl-BE"/>
        </w:rPr>
      </w:pPr>
      <w:r w:rsidRPr="0069784D">
        <w:rPr>
          <w:lang w:val="nl-BE"/>
        </w:rPr>
        <w:t>Deze bescherming geldt ook wanneer het slachtoffer is overleden</w:t>
      </w:r>
      <w:r w:rsidRPr="0069784D">
        <w:rPr>
          <w:rStyle w:val="FootnoteReference"/>
          <w:lang w:val="nl-BE"/>
        </w:rPr>
        <w:footnoteReference w:customMarkFollows="1" w:id="74"/>
        <w:t>74</w:t>
      </w:r>
      <w:r w:rsidRPr="0069784D">
        <w:rPr>
          <w:lang w:val="nl-BE"/>
        </w:rPr>
        <w:t xml:space="preserve">. </w:t>
      </w:r>
    </w:p>
    <w:p w14:paraId="443FC22A" w14:textId="77777777" w:rsidR="00062910" w:rsidRPr="0069784D" w:rsidRDefault="00062910" w:rsidP="009C15CF">
      <w:pPr>
        <w:jc w:val="both"/>
        <w:rPr>
          <w:rFonts w:eastAsia="Times New Roman" w:cstheme="minorHAnsi"/>
          <w:bCs/>
          <w:color w:val="000000"/>
          <w:lang w:val="nl-BE" w:eastAsia="en-GB"/>
        </w:rPr>
      </w:pPr>
    </w:p>
    <w:p w14:paraId="5D088BB0" w14:textId="2666949F" w:rsidR="00062910" w:rsidRPr="0069784D" w:rsidRDefault="00062910" w:rsidP="009C15CF">
      <w:pPr>
        <w:pStyle w:val="Heading3"/>
        <w:jc w:val="both"/>
        <w:rPr>
          <w:rFonts w:asciiTheme="minorHAnsi" w:hAnsiTheme="minorHAnsi" w:cstheme="minorHAnsi"/>
          <w:color w:val="auto"/>
          <w:sz w:val="28"/>
          <w:szCs w:val="28"/>
          <w:lang w:val="nl-BE"/>
        </w:rPr>
      </w:pPr>
      <w:bookmarkStart w:id="43" w:name="_Toc104923492"/>
      <w:r w:rsidRPr="0069784D">
        <w:rPr>
          <w:rFonts w:asciiTheme="minorHAnsi" w:hAnsiTheme="minorHAnsi"/>
          <w:color w:val="auto"/>
          <w:sz w:val="28"/>
          <w:lang w:val="nl-BE"/>
        </w:rPr>
        <w:lastRenderedPageBreak/>
        <w:t>Artikel 417/64</w:t>
      </w:r>
      <w:r w:rsidR="008F772B" w:rsidRPr="0069784D">
        <w:rPr>
          <w:rFonts w:asciiTheme="minorHAnsi" w:hAnsiTheme="minorHAnsi"/>
          <w:color w:val="auto"/>
          <w:sz w:val="28"/>
          <w:lang w:val="nl-BE"/>
        </w:rPr>
        <w:t xml:space="preserve"> - H</w:t>
      </w:r>
      <w:r w:rsidRPr="0069784D">
        <w:rPr>
          <w:rFonts w:asciiTheme="minorHAnsi" w:hAnsiTheme="minorHAnsi"/>
          <w:color w:val="auto"/>
          <w:sz w:val="28"/>
          <w:lang w:val="nl-BE"/>
        </w:rPr>
        <w:t>et advies van een dienst gespecialiseerd in de begeleiding of behandeling van seksuele delinquenten</w:t>
      </w:r>
      <w:bookmarkEnd w:id="43"/>
    </w:p>
    <w:p w14:paraId="3DC59E49" w14:textId="77777777" w:rsidR="008F772B" w:rsidRPr="0069784D" w:rsidRDefault="008F772B" w:rsidP="009C15CF">
      <w:pPr>
        <w:jc w:val="both"/>
        <w:rPr>
          <w:i/>
          <w:color w:val="000000"/>
          <w:lang w:val="nl-BE"/>
        </w:rPr>
      </w:pPr>
    </w:p>
    <w:p w14:paraId="2BE3D540" w14:textId="74B3022F" w:rsidR="00062910" w:rsidRPr="00F34B90" w:rsidRDefault="00062910" w:rsidP="009C15CF">
      <w:pPr>
        <w:jc w:val="both"/>
        <w:rPr>
          <w:i/>
          <w:color w:val="000000"/>
          <w:lang w:val="nl-BE"/>
        </w:rPr>
      </w:pPr>
      <w:r w:rsidRPr="0069784D">
        <w:rPr>
          <w:i/>
          <w:color w:val="000000"/>
          <w:lang w:val="nl-BE"/>
        </w:rPr>
        <w:t>“</w:t>
      </w:r>
      <w:r w:rsidR="00F34B90" w:rsidRPr="00F34B90">
        <w:rPr>
          <w:i/>
          <w:color w:val="000000"/>
          <w:lang w:val="nl-BE"/>
        </w:rPr>
        <w:t xml:space="preserve">Artikel 417/64 bepaalt : “Indien de beklaagde wordt vervolgd voor een in dit hoofdstuk bedoeld misdrijf, kan het openbaar ministerie of de rechter bij wie de zaak aanhangig werd gemaakt, met het oog op het opleggen van de meest geschikte straf, het met redenen </w:t>
      </w:r>
      <w:r w:rsidR="00F34B90">
        <w:rPr>
          <w:i/>
          <w:color w:val="000000"/>
          <w:lang w:val="nl-BE"/>
        </w:rPr>
        <w:t xml:space="preserve">omkleed advies inwinnen van een </w:t>
      </w:r>
      <w:r w:rsidR="00F34B90" w:rsidRPr="00F34B90">
        <w:rPr>
          <w:i/>
          <w:color w:val="000000"/>
          <w:lang w:val="nl-BE"/>
        </w:rPr>
        <w:t>dienst gespecialiseerd in de begeleiding of behandeling van seksuele delinquenten</w:t>
      </w:r>
      <w:r w:rsidRPr="0069784D">
        <w:rPr>
          <w:i/>
          <w:color w:val="000000"/>
          <w:lang w:val="nl-BE"/>
        </w:rPr>
        <w:t>.”</w:t>
      </w:r>
    </w:p>
    <w:p w14:paraId="5E78CAD2" w14:textId="4B56D914" w:rsidR="00062910" w:rsidRPr="0069784D" w:rsidRDefault="00F34B90" w:rsidP="009C15CF">
      <w:pPr>
        <w:jc w:val="both"/>
        <w:rPr>
          <w:lang w:val="nl-BE"/>
        </w:rPr>
      </w:pPr>
      <w:r>
        <w:rPr>
          <w:lang w:val="nl-BE"/>
        </w:rPr>
        <w:t>Na</w:t>
      </w:r>
      <w:r w:rsidR="00062910" w:rsidRPr="0069784D">
        <w:rPr>
          <w:lang w:val="nl-BE"/>
        </w:rPr>
        <w:t xml:space="preserve"> de zaak-Dutroux werd in België de aanpak van seksuele delinquentie hervormd en werd </w:t>
      </w:r>
      <w:r w:rsidR="008F772B" w:rsidRPr="0069784D">
        <w:rPr>
          <w:lang w:val="nl-BE"/>
        </w:rPr>
        <w:t xml:space="preserve">gepleit voor de oprichting </w:t>
      </w:r>
      <w:r w:rsidRPr="004B2F7F">
        <w:rPr>
          <w:lang w:val="nl-BE"/>
        </w:rPr>
        <w:t>van diensten d</w:t>
      </w:r>
      <w:r>
        <w:rPr>
          <w:lang w:val="nl-BE"/>
        </w:rPr>
        <w:t>ie gespecialiseerd zijn</w:t>
      </w:r>
      <w:r w:rsidR="00062910" w:rsidRPr="0069784D">
        <w:rPr>
          <w:lang w:val="nl-BE"/>
        </w:rPr>
        <w:t xml:space="preserve"> in de begeleiding of de behandeling van </w:t>
      </w:r>
      <w:r w:rsidR="009F015E" w:rsidRPr="0069784D">
        <w:rPr>
          <w:lang w:val="nl-BE"/>
        </w:rPr>
        <w:t>dergelijke</w:t>
      </w:r>
      <w:r w:rsidR="00062910" w:rsidRPr="0069784D">
        <w:rPr>
          <w:lang w:val="nl-BE"/>
        </w:rPr>
        <w:t xml:space="preserve"> delinquenten</w:t>
      </w:r>
      <w:r w:rsidR="008F772B" w:rsidRPr="0069784D">
        <w:rPr>
          <w:lang w:val="nl-BE"/>
        </w:rPr>
        <w:t>.</w:t>
      </w:r>
    </w:p>
    <w:p w14:paraId="5B09BA92" w14:textId="5DD2AFAD" w:rsidR="00062910" w:rsidRPr="0069784D" w:rsidRDefault="00062910" w:rsidP="009C15CF">
      <w:pPr>
        <w:jc w:val="both"/>
        <w:rPr>
          <w:lang w:val="nl-BE"/>
        </w:rPr>
      </w:pPr>
      <w:r w:rsidRPr="0069784D">
        <w:rPr>
          <w:lang w:val="nl-BE"/>
        </w:rPr>
        <w:t>Overeenkomstig de wet van 28 november 2000 betreffende de strafrechtelijke bescherming van minderjarigen moet de rechter een met redenen omkleed advies inwinnen van één van deze diensten alvorens een probatiemaatregel op te leggen</w:t>
      </w:r>
      <w:r w:rsidR="00F34B90">
        <w:rPr>
          <w:lang w:val="nl-BE"/>
        </w:rPr>
        <w:t>,</w:t>
      </w:r>
      <w:r w:rsidRPr="0069784D">
        <w:rPr>
          <w:lang w:val="nl-BE"/>
        </w:rPr>
        <w:t xml:space="preserve"> als bij hem een zaak aanhangig wordt gemaakt inzake aanranding van de eerbaarheid, verkrachting, bederf van de jeugd en </w:t>
      </w:r>
      <w:r w:rsidR="008F772B" w:rsidRPr="0069784D">
        <w:rPr>
          <w:lang w:val="nl-BE"/>
        </w:rPr>
        <w:t xml:space="preserve">als </w:t>
      </w:r>
      <w:r w:rsidRPr="0069784D">
        <w:rPr>
          <w:lang w:val="nl-BE"/>
        </w:rPr>
        <w:t xml:space="preserve">prostitutie gekwalificeerde feiten, voor zover deze werden gepleegd ten aanzien van of met behulp van minderjarigen en inzake kinderpornografie. </w:t>
      </w:r>
    </w:p>
    <w:p w14:paraId="1F475C8A" w14:textId="600B37B7" w:rsidR="00062910" w:rsidRPr="0069784D" w:rsidRDefault="00062910" w:rsidP="009C15CF">
      <w:pPr>
        <w:jc w:val="both"/>
        <w:rPr>
          <w:lang w:val="nl-BE"/>
        </w:rPr>
      </w:pPr>
      <w:r w:rsidRPr="0069784D">
        <w:rPr>
          <w:lang w:val="nl-BE"/>
        </w:rPr>
        <w:t xml:space="preserve">In de </w:t>
      </w:r>
      <w:r w:rsidR="008F772B" w:rsidRPr="0069784D">
        <w:rPr>
          <w:lang w:val="nl-BE"/>
        </w:rPr>
        <w:t xml:space="preserve">nieuwe </w:t>
      </w:r>
      <w:r w:rsidRPr="0069784D">
        <w:rPr>
          <w:lang w:val="nl-BE"/>
        </w:rPr>
        <w:t xml:space="preserve">wet van 21 maart 2022 </w:t>
      </w:r>
      <w:r w:rsidR="008F772B" w:rsidRPr="0069784D">
        <w:rPr>
          <w:lang w:val="nl-BE"/>
        </w:rPr>
        <w:t>wordt</w:t>
      </w:r>
      <w:r w:rsidRPr="0069784D">
        <w:rPr>
          <w:lang w:val="nl-BE"/>
        </w:rPr>
        <w:t xml:space="preserve"> bepaald dat de rechter, </w:t>
      </w:r>
      <w:r w:rsidRPr="0069784D">
        <w:rPr>
          <w:b/>
          <w:bCs/>
          <w:lang w:val="nl-BE"/>
        </w:rPr>
        <w:t xml:space="preserve">maar daarnaast ook het </w:t>
      </w:r>
      <w:r w:rsidR="008F772B" w:rsidRPr="0069784D">
        <w:rPr>
          <w:b/>
          <w:bCs/>
          <w:lang w:val="nl-BE"/>
        </w:rPr>
        <w:t>O</w:t>
      </w:r>
      <w:r w:rsidRPr="0069784D">
        <w:rPr>
          <w:b/>
          <w:bCs/>
          <w:lang w:val="nl-BE"/>
        </w:rPr>
        <w:t xml:space="preserve">penbaar </w:t>
      </w:r>
      <w:r w:rsidR="008F772B" w:rsidRPr="0069784D">
        <w:rPr>
          <w:b/>
          <w:bCs/>
          <w:lang w:val="nl-BE"/>
        </w:rPr>
        <w:t>M</w:t>
      </w:r>
      <w:r w:rsidRPr="0069784D">
        <w:rPr>
          <w:b/>
          <w:bCs/>
          <w:lang w:val="nl-BE"/>
        </w:rPr>
        <w:t>inisterie</w:t>
      </w:r>
      <w:r w:rsidRPr="0069784D">
        <w:rPr>
          <w:lang w:val="nl-BE"/>
        </w:rPr>
        <w:t xml:space="preserve"> (wat nieuw is), de </w:t>
      </w:r>
      <w:r w:rsidRPr="0069784D">
        <w:rPr>
          <w:b/>
          <w:bCs/>
          <w:lang w:val="nl-BE"/>
        </w:rPr>
        <w:t>mogelijkheid</w:t>
      </w:r>
      <w:r w:rsidRPr="0069784D">
        <w:rPr>
          <w:lang w:val="nl-BE"/>
        </w:rPr>
        <w:t xml:space="preserve"> heeft (en dus </w:t>
      </w:r>
      <w:r w:rsidRPr="0069784D">
        <w:rPr>
          <w:b/>
          <w:bCs/>
          <w:lang w:val="nl-BE"/>
        </w:rPr>
        <w:t>niet langer verplicht</w:t>
      </w:r>
      <w:r w:rsidRPr="0069784D">
        <w:rPr>
          <w:lang w:val="nl-BE"/>
        </w:rPr>
        <w:t xml:space="preserve"> is) om een met redenen omkleed advies in te winnen</w:t>
      </w:r>
      <w:r w:rsidR="008F772B" w:rsidRPr="0069784D">
        <w:rPr>
          <w:lang w:val="nl-BE"/>
        </w:rPr>
        <w:t>, en dat dit advies niet langer beperkt wordt tot de mogelijkheid om</w:t>
      </w:r>
      <w:r w:rsidRPr="0069784D">
        <w:rPr>
          <w:lang w:val="nl-BE"/>
        </w:rPr>
        <w:t xml:space="preserve"> adequate probatiemaatregelen op te leggen, maar</w:t>
      </w:r>
      <w:r w:rsidR="008F772B" w:rsidRPr="0069784D">
        <w:rPr>
          <w:lang w:val="nl-BE"/>
        </w:rPr>
        <w:t xml:space="preserve"> er</w:t>
      </w:r>
      <w:r w:rsidRPr="0069784D">
        <w:rPr>
          <w:lang w:val="nl-BE"/>
        </w:rPr>
        <w:t xml:space="preserve"> </w:t>
      </w:r>
      <w:r w:rsidRPr="0069784D">
        <w:rPr>
          <w:b/>
          <w:bCs/>
          <w:lang w:val="nl-BE"/>
        </w:rPr>
        <w:t>in ruimere zin</w:t>
      </w:r>
      <w:r w:rsidRPr="0069784D">
        <w:rPr>
          <w:lang w:val="nl-BE"/>
        </w:rPr>
        <w:t xml:space="preserve"> </w:t>
      </w:r>
      <w:r w:rsidR="008F772B" w:rsidRPr="0069784D">
        <w:rPr>
          <w:lang w:val="nl-BE"/>
        </w:rPr>
        <w:t>moet voor zorgen</w:t>
      </w:r>
      <w:r w:rsidRPr="0069784D">
        <w:rPr>
          <w:lang w:val="nl-BE"/>
        </w:rPr>
        <w:t xml:space="preserve"> dat de rechter de meest </w:t>
      </w:r>
      <w:r w:rsidR="008F772B" w:rsidRPr="0069784D">
        <w:rPr>
          <w:lang w:val="nl-BE"/>
        </w:rPr>
        <w:t>geschikte</w:t>
      </w:r>
      <w:r w:rsidRPr="0069784D">
        <w:rPr>
          <w:lang w:val="nl-BE"/>
        </w:rPr>
        <w:t xml:space="preserve"> straf kan bepalen. </w:t>
      </w:r>
    </w:p>
    <w:p w14:paraId="0FB5EA62" w14:textId="4C32D3D3" w:rsidR="00062910" w:rsidRPr="0069784D" w:rsidRDefault="00062910" w:rsidP="009C15CF">
      <w:pPr>
        <w:jc w:val="both"/>
        <w:rPr>
          <w:lang w:val="nl-BE"/>
        </w:rPr>
      </w:pPr>
      <w:r w:rsidRPr="0069784D">
        <w:rPr>
          <w:lang w:val="nl-BE"/>
        </w:rPr>
        <w:t xml:space="preserve">In de parlementaire voorbereiding wordt het facultatieve karakter van </w:t>
      </w:r>
      <w:r w:rsidR="008F772B" w:rsidRPr="0069784D">
        <w:rPr>
          <w:lang w:val="nl-BE"/>
        </w:rPr>
        <w:t>dit</w:t>
      </w:r>
      <w:r w:rsidRPr="0069784D">
        <w:rPr>
          <w:lang w:val="nl-BE"/>
        </w:rPr>
        <w:t xml:space="preserve"> advies </w:t>
      </w:r>
      <w:r w:rsidR="008F772B" w:rsidRPr="0069784D">
        <w:rPr>
          <w:lang w:val="nl-BE"/>
        </w:rPr>
        <w:t>verantwoord</w:t>
      </w:r>
      <w:r w:rsidRPr="0069784D">
        <w:rPr>
          <w:lang w:val="nl-BE"/>
        </w:rPr>
        <w:t xml:space="preserve"> door het feit dat bepaalde wanbedrijven van seksuele aard niet noodzakelijk wijzen op een seksuele problematiek.</w:t>
      </w:r>
    </w:p>
    <w:p w14:paraId="50ED79AF" w14:textId="1C69E8A9" w:rsidR="00062910" w:rsidRPr="0069784D" w:rsidRDefault="00062910" w:rsidP="009C15CF">
      <w:pPr>
        <w:jc w:val="both"/>
        <w:rPr>
          <w:lang w:val="nl-BE"/>
        </w:rPr>
      </w:pPr>
      <w:r w:rsidRPr="0069784D">
        <w:rPr>
          <w:lang w:val="nl-BE"/>
        </w:rPr>
        <w:t xml:space="preserve">Er kan </w:t>
      </w:r>
      <w:r w:rsidR="008F772B" w:rsidRPr="0069784D">
        <w:rPr>
          <w:lang w:val="nl-BE"/>
        </w:rPr>
        <w:t xml:space="preserve">zo </w:t>
      </w:r>
      <w:r w:rsidRPr="0069784D">
        <w:rPr>
          <w:lang w:val="nl-BE"/>
        </w:rPr>
        <w:t>bijvoorbeeld sprake zijn van daders die hebben gehandeld als gevolg van het ontremmende effect van verdovende middelen of alcohol.</w:t>
      </w:r>
    </w:p>
    <w:p w14:paraId="4161FE60" w14:textId="6178BA3B" w:rsidR="00062910" w:rsidRPr="0069784D" w:rsidRDefault="00062910" w:rsidP="009C15CF">
      <w:pPr>
        <w:jc w:val="both"/>
        <w:rPr>
          <w:lang w:val="nl-BE"/>
        </w:rPr>
      </w:pPr>
      <w:r w:rsidRPr="0069784D">
        <w:rPr>
          <w:lang w:val="nl-BE"/>
        </w:rPr>
        <w:t xml:space="preserve">In de parlementaire voorbereiding wordt </w:t>
      </w:r>
      <w:r w:rsidR="008F772B" w:rsidRPr="0069784D">
        <w:rPr>
          <w:lang w:val="nl-BE"/>
        </w:rPr>
        <w:t>bovendien</w:t>
      </w:r>
      <w:r w:rsidRPr="0069784D">
        <w:rPr>
          <w:lang w:val="nl-BE"/>
        </w:rPr>
        <w:t xml:space="preserve"> verduidelijkt dat het </w:t>
      </w:r>
      <w:r w:rsidR="008F772B" w:rsidRPr="0069784D">
        <w:rPr>
          <w:lang w:val="nl-BE"/>
        </w:rPr>
        <w:t>O</w:t>
      </w:r>
      <w:r w:rsidRPr="0069784D">
        <w:rPr>
          <w:lang w:val="nl-BE"/>
        </w:rPr>
        <w:t xml:space="preserve">penbaar </w:t>
      </w:r>
      <w:r w:rsidR="008F772B" w:rsidRPr="0069784D">
        <w:rPr>
          <w:lang w:val="nl-BE"/>
        </w:rPr>
        <w:t>M</w:t>
      </w:r>
      <w:r w:rsidRPr="0069784D">
        <w:rPr>
          <w:lang w:val="nl-BE"/>
        </w:rPr>
        <w:t xml:space="preserve">inisterie of de rechter het advies kan inwinnen van een </w:t>
      </w:r>
      <w:r w:rsidR="00F34B90" w:rsidRPr="004B2F7F">
        <w:rPr>
          <w:lang w:val="nl-BE"/>
        </w:rPr>
        <w:t>dienst die niet l</w:t>
      </w:r>
      <w:r w:rsidR="00F34B90">
        <w:rPr>
          <w:lang w:val="nl-BE"/>
        </w:rPr>
        <w:t>outer in seksuele problematieken is gespecialiseerd</w:t>
      </w:r>
    </w:p>
    <w:p w14:paraId="67686D82" w14:textId="0EF7A628" w:rsidR="00062910" w:rsidRPr="0069784D" w:rsidRDefault="00F34B90" w:rsidP="009C15CF">
      <w:pPr>
        <w:jc w:val="both"/>
        <w:rPr>
          <w:b/>
          <w:lang w:val="nl-BE"/>
        </w:rPr>
      </w:pPr>
      <w:r w:rsidRPr="00F34B90">
        <w:rPr>
          <w:b/>
          <w:lang w:val="nl-BE"/>
        </w:rPr>
        <w:t>De aandacht wordt erop gevestigd</w:t>
      </w:r>
      <w:r w:rsidRPr="0069784D">
        <w:rPr>
          <w:b/>
          <w:lang w:val="nl-BE"/>
        </w:rPr>
        <w:t xml:space="preserve"> </w:t>
      </w:r>
      <w:r w:rsidR="00062910" w:rsidRPr="0069784D">
        <w:rPr>
          <w:b/>
          <w:lang w:val="nl-BE"/>
        </w:rPr>
        <w:t>dat artikel 9bis van de wet van 29 juni 1964 betreffende de opschorting, het uitstel en de probatie niet werd opgeheven</w:t>
      </w:r>
      <w:r w:rsidR="008F772B" w:rsidRPr="0069784D">
        <w:rPr>
          <w:b/>
          <w:lang w:val="nl-BE"/>
        </w:rPr>
        <w:t>,</w:t>
      </w:r>
      <w:r w:rsidR="00062910" w:rsidRPr="0069784D">
        <w:rPr>
          <w:b/>
          <w:lang w:val="nl-BE"/>
        </w:rPr>
        <w:t xml:space="preserve"> zodat het verplicht blijft om advies in te winnen alvorens een probatiemaatregel op te leggen </w:t>
      </w:r>
      <w:r w:rsidR="008F772B" w:rsidRPr="0069784D">
        <w:rPr>
          <w:b/>
          <w:lang w:val="nl-BE"/>
        </w:rPr>
        <w:t xml:space="preserve">wanneer </w:t>
      </w:r>
      <w:r w:rsidR="00062910" w:rsidRPr="0069784D">
        <w:rPr>
          <w:b/>
          <w:lang w:val="nl-BE"/>
        </w:rPr>
        <w:t xml:space="preserve">een </w:t>
      </w:r>
      <w:r w:rsidR="008F772B" w:rsidRPr="0069784D">
        <w:rPr>
          <w:b/>
          <w:lang w:val="nl-BE"/>
        </w:rPr>
        <w:t xml:space="preserve">seksueel </w:t>
      </w:r>
      <w:r w:rsidR="00062910" w:rsidRPr="0069784D">
        <w:rPr>
          <w:b/>
          <w:lang w:val="nl-BE"/>
        </w:rPr>
        <w:t xml:space="preserve">misdrijf gepleegd </w:t>
      </w:r>
      <w:r w:rsidR="008F772B" w:rsidRPr="0069784D">
        <w:rPr>
          <w:b/>
          <w:lang w:val="nl-BE"/>
        </w:rPr>
        <w:t xml:space="preserve">werd </w:t>
      </w:r>
      <w:r w:rsidR="00062910" w:rsidRPr="0069784D">
        <w:rPr>
          <w:b/>
          <w:lang w:val="nl-BE"/>
        </w:rPr>
        <w:t>ten aanzien van of met behulp van een minderjarige.</w:t>
      </w:r>
    </w:p>
    <w:p w14:paraId="2CCF17CB" w14:textId="5E04D54D" w:rsidR="00062910" w:rsidRPr="0069784D" w:rsidRDefault="00062910" w:rsidP="009C15CF">
      <w:pPr>
        <w:jc w:val="both"/>
        <w:rPr>
          <w:lang w:val="nl-BE"/>
        </w:rPr>
      </w:pPr>
    </w:p>
    <w:p w14:paraId="7A77CC87" w14:textId="60EE43E9" w:rsidR="0001590A" w:rsidRPr="0069784D" w:rsidRDefault="0001590A" w:rsidP="009C15CF">
      <w:pPr>
        <w:jc w:val="both"/>
        <w:rPr>
          <w:lang w:val="nl-BE"/>
        </w:rPr>
      </w:pPr>
    </w:p>
    <w:p w14:paraId="2FB03F00" w14:textId="77777777" w:rsidR="0001590A" w:rsidRPr="0069784D" w:rsidRDefault="0001590A" w:rsidP="009C15CF">
      <w:pPr>
        <w:jc w:val="both"/>
        <w:rPr>
          <w:lang w:val="nl-BE"/>
        </w:rPr>
      </w:pPr>
    </w:p>
    <w:p w14:paraId="1FD091AD" w14:textId="7594D4FE" w:rsidR="00062910" w:rsidRPr="00250C86" w:rsidRDefault="00062910" w:rsidP="009C15CF">
      <w:pPr>
        <w:pStyle w:val="ListParagraph"/>
        <w:numPr>
          <w:ilvl w:val="0"/>
          <w:numId w:val="22"/>
        </w:numPr>
        <w:jc w:val="both"/>
        <w:outlineLvl w:val="0"/>
        <w:rPr>
          <w:b/>
          <w:sz w:val="36"/>
          <w:szCs w:val="36"/>
          <w:lang w:val="nl-BE"/>
        </w:rPr>
      </w:pPr>
      <w:bookmarkStart w:id="44" w:name="_Toc104923493"/>
      <w:r w:rsidRPr="00250C86">
        <w:rPr>
          <w:b/>
          <w:sz w:val="36"/>
          <w:lang w:val="nl-BE"/>
        </w:rPr>
        <w:lastRenderedPageBreak/>
        <w:t>Analyse van het nieuwe hoofdstuk III</w:t>
      </w:r>
      <w:r w:rsidRPr="00250C86">
        <w:rPr>
          <w:b/>
          <w:i/>
          <w:iCs/>
          <w:sz w:val="36"/>
          <w:lang w:val="nl-BE"/>
        </w:rPr>
        <w:t>bis</w:t>
      </w:r>
      <w:r w:rsidRPr="00250C86">
        <w:rPr>
          <w:b/>
          <w:sz w:val="36"/>
          <w:lang w:val="nl-BE"/>
        </w:rPr>
        <w:t>/1 van het Strafwetboek</w:t>
      </w:r>
      <w:bookmarkEnd w:id="44"/>
      <w:r w:rsidRPr="00250C86">
        <w:rPr>
          <w:b/>
          <w:sz w:val="36"/>
          <w:lang w:val="nl-BE"/>
        </w:rPr>
        <w:t xml:space="preserve"> </w:t>
      </w:r>
    </w:p>
    <w:p w14:paraId="4E0547F3" w14:textId="77777777" w:rsidR="008F772B" w:rsidRPr="0069784D" w:rsidRDefault="008F772B" w:rsidP="009C15CF">
      <w:pPr>
        <w:pStyle w:val="ListParagraph"/>
        <w:ind w:left="1080"/>
        <w:jc w:val="both"/>
        <w:outlineLvl w:val="0"/>
        <w:rPr>
          <w:b/>
          <w:lang w:val="nl-BE"/>
        </w:rPr>
      </w:pPr>
    </w:p>
    <w:p w14:paraId="1F7165E7" w14:textId="025BA89D" w:rsidR="00062910" w:rsidRPr="00E82155" w:rsidRDefault="00062910" w:rsidP="009C15CF">
      <w:pPr>
        <w:jc w:val="both"/>
        <w:rPr>
          <w:sz w:val="24"/>
          <w:szCs w:val="36"/>
          <w:u w:val="single"/>
          <w:lang w:val="nl-BE"/>
        </w:rPr>
      </w:pPr>
      <w:r w:rsidRPr="00E82155">
        <w:rPr>
          <w:sz w:val="24"/>
          <w:u w:val="single"/>
          <w:lang w:val="nl-BE"/>
        </w:rPr>
        <w:t>Misbruik van prostitutie</w:t>
      </w:r>
      <w:r w:rsidR="00E82155">
        <w:rPr>
          <w:sz w:val="24"/>
          <w:u w:val="single"/>
          <w:lang w:val="nl-BE"/>
        </w:rPr>
        <w:t xml:space="preserve"> :</w:t>
      </w:r>
    </w:p>
    <w:p w14:paraId="5C5F1067" w14:textId="77777777" w:rsidR="00062910" w:rsidRPr="0069784D" w:rsidRDefault="00062910" w:rsidP="009C15CF">
      <w:pPr>
        <w:jc w:val="both"/>
        <w:rPr>
          <w:lang w:val="nl-BE"/>
        </w:rPr>
      </w:pPr>
    </w:p>
    <w:p w14:paraId="4605362E" w14:textId="324D1982" w:rsidR="00062910" w:rsidRPr="0069784D" w:rsidRDefault="00062910" w:rsidP="009C15CF">
      <w:pPr>
        <w:jc w:val="both"/>
        <w:rPr>
          <w:lang w:val="nl-BE"/>
        </w:rPr>
      </w:pPr>
      <w:r w:rsidRPr="0069784D">
        <w:rPr>
          <w:lang w:val="nl-BE"/>
        </w:rPr>
        <w:t xml:space="preserve">Op basis van dit hoofdstuk kan worden vastgesteld dat de </w:t>
      </w:r>
      <w:r w:rsidR="002C197D" w:rsidRPr="0069784D">
        <w:rPr>
          <w:lang w:val="nl-BE"/>
        </w:rPr>
        <w:t xml:space="preserve">intentie van de </w:t>
      </w:r>
      <w:r w:rsidRPr="0069784D">
        <w:rPr>
          <w:lang w:val="nl-BE"/>
        </w:rPr>
        <w:t xml:space="preserve">wetgever </w:t>
      </w:r>
      <w:r w:rsidR="002C197D" w:rsidRPr="0069784D">
        <w:rPr>
          <w:lang w:val="nl-BE"/>
        </w:rPr>
        <w:t>erin bestaat</w:t>
      </w:r>
      <w:r w:rsidRPr="0069784D">
        <w:rPr>
          <w:lang w:val="nl-BE"/>
        </w:rPr>
        <w:t xml:space="preserve"> om de sector van de sekswerkers gedeeltelijk </w:t>
      </w:r>
      <w:r w:rsidR="002C197D" w:rsidRPr="0069784D">
        <w:rPr>
          <w:lang w:val="nl-BE"/>
        </w:rPr>
        <w:t>uit de strafrechtelijke sfeer te halen:</w:t>
      </w:r>
      <w:r w:rsidRPr="0069784D">
        <w:rPr>
          <w:lang w:val="nl-BE"/>
        </w:rPr>
        <w:t xml:space="preserve"> "</w:t>
      </w:r>
      <w:r w:rsidRPr="0069784D">
        <w:rPr>
          <w:i/>
          <w:iCs/>
          <w:lang w:val="nl-BE"/>
        </w:rPr>
        <w:t>In dit opzicht stelt de minister trouwens dat “</w:t>
      </w:r>
      <w:r w:rsidRPr="00F34B90">
        <w:rPr>
          <w:iCs/>
          <w:lang w:val="nl-BE"/>
        </w:rPr>
        <w:t>het huidige artikel 380 van het Strafwetboek, dat elke derde partij criminaliseert, sekswerkers afhankelijk maakt van willekeur.</w:t>
      </w:r>
      <w:r w:rsidRPr="00F34B90">
        <w:rPr>
          <w:lang w:val="nl-BE"/>
        </w:rPr>
        <w:t xml:space="preserve">  </w:t>
      </w:r>
      <w:r w:rsidRPr="00F34B90">
        <w:rPr>
          <w:iCs/>
          <w:lang w:val="nl-BE"/>
        </w:rPr>
        <w:t>Dit maakt bijvoorbeeld een boekhouder, een bank of een advocaat van een sekswerker strafbaar en dit leidt tot veel rechtsonzekerheid.</w:t>
      </w:r>
      <w:r w:rsidRPr="00F34B90">
        <w:rPr>
          <w:lang w:val="nl-BE"/>
        </w:rPr>
        <w:t>”</w:t>
      </w:r>
      <w:r w:rsidRPr="00F34B90">
        <w:rPr>
          <w:rStyle w:val="FootnoteReference"/>
          <w:lang w:val="nl-BE"/>
        </w:rPr>
        <w:footnoteReference w:customMarkFollows="1" w:id="75"/>
        <w:t>75</w:t>
      </w:r>
      <w:r w:rsidR="002C197D" w:rsidRPr="00F34B90">
        <w:rPr>
          <w:lang w:val="nl-BE"/>
        </w:rPr>
        <w:t xml:space="preserve">. </w:t>
      </w:r>
      <w:r w:rsidRPr="00F34B90">
        <w:rPr>
          <w:lang w:val="nl-BE"/>
        </w:rPr>
        <w:t>Derhalve werd dit artikel opgeheven</w:t>
      </w:r>
      <w:r w:rsidRPr="0069784D">
        <w:rPr>
          <w:lang w:val="nl-BE"/>
        </w:rPr>
        <w:t xml:space="preserve">. </w:t>
      </w:r>
    </w:p>
    <w:p w14:paraId="50FC58BA" w14:textId="73809DDA" w:rsidR="00062910" w:rsidRPr="0069784D" w:rsidRDefault="00F34B90" w:rsidP="009C15CF">
      <w:pPr>
        <w:jc w:val="both"/>
        <w:rPr>
          <w:lang w:val="nl-BE"/>
        </w:rPr>
      </w:pPr>
      <w:r>
        <w:rPr>
          <w:lang w:val="nl-BE"/>
        </w:rPr>
        <w:t>De overlapping van</w:t>
      </w:r>
      <w:r w:rsidRPr="0069784D">
        <w:rPr>
          <w:lang w:val="nl-BE"/>
        </w:rPr>
        <w:t xml:space="preserve"> </w:t>
      </w:r>
      <w:r w:rsidR="00062910" w:rsidRPr="0069784D">
        <w:rPr>
          <w:lang w:val="nl-BE"/>
        </w:rPr>
        <w:t xml:space="preserve">de artikelen 380 en 433quinquies </w:t>
      </w:r>
      <w:r w:rsidRPr="00FA20D6">
        <w:rPr>
          <w:lang w:val="nl-BE"/>
        </w:rPr>
        <w:t>S</w:t>
      </w:r>
      <w:r>
        <w:rPr>
          <w:lang w:val="nl-BE"/>
        </w:rPr>
        <w:t>traf</w:t>
      </w:r>
      <w:r w:rsidRPr="00FA20D6">
        <w:rPr>
          <w:lang w:val="nl-BE"/>
        </w:rPr>
        <w:t>w</w:t>
      </w:r>
      <w:r>
        <w:rPr>
          <w:lang w:val="nl-BE"/>
        </w:rPr>
        <w:t>etboek</w:t>
      </w:r>
      <w:r w:rsidRPr="00FA20D6">
        <w:rPr>
          <w:lang w:val="nl-BE"/>
        </w:rPr>
        <w:t>, dat mensenhandel met het oog op seksuele uitbuiting regelt</w:t>
      </w:r>
      <w:r w:rsidR="00062910" w:rsidRPr="0069784D">
        <w:rPr>
          <w:lang w:val="nl-BE"/>
        </w:rPr>
        <w:t xml:space="preserve">, rechtvaardigt </w:t>
      </w:r>
      <w:r w:rsidR="002C197D" w:rsidRPr="0069784D">
        <w:rPr>
          <w:lang w:val="nl-BE"/>
        </w:rPr>
        <w:t>eveneens deze</w:t>
      </w:r>
      <w:r w:rsidR="00062910" w:rsidRPr="0069784D">
        <w:rPr>
          <w:lang w:val="nl-BE"/>
        </w:rPr>
        <w:t xml:space="preserve"> keuze.</w:t>
      </w:r>
    </w:p>
    <w:p w14:paraId="7BE4C57D" w14:textId="2B67DF76" w:rsidR="00062910" w:rsidRPr="0069784D" w:rsidRDefault="005E25B9" w:rsidP="009C15CF">
      <w:pPr>
        <w:jc w:val="both"/>
        <w:rPr>
          <w:lang w:val="nl-BE"/>
        </w:rPr>
      </w:pPr>
      <w:r w:rsidRPr="0069784D">
        <w:rPr>
          <w:lang w:val="nl-BE"/>
        </w:rPr>
        <w:t>H</w:t>
      </w:r>
      <w:r w:rsidR="00062910" w:rsidRPr="0069784D">
        <w:rPr>
          <w:lang w:val="nl-BE"/>
        </w:rPr>
        <w:t xml:space="preserve">et nieuwe artikel 433quater van het Strafwetboek met betrekking tot het misdrijf </w:t>
      </w:r>
      <w:r w:rsidR="002C197D" w:rsidRPr="0069784D">
        <w:rPr>
          <w:lang w:val="nl-BE"/>
        </w:rPr>
        <w:t>‘</w:t>
      </w:r>
      <w:r w:rsidR="00062910" w:rsidRPr="0069784D">
        <w:rPr>
          <w:lang w:val="nl-BE"/>
        </w:rPr>
        <w:t>pooierschap</w:t>
      </w:r>
      <w:r w:rsidR="002C197D" w:rsidRPr="0069784D">
        <w:rPr>
          <w:lang w:val="nl-BE"/>
        </w:rPr>
        <w:t>’</w:t>
      </w:r>
      <w:r w:rsidR="00062910" w:rsidRPr="0069784D">
        <w:rPr>
          <w:lang w:val="nl-BE"/>
        </w:rPr>
        <w:t xml:space="preserve"> </w:t>
      </w:r>
      <w:r w:rsidRPr="0069784D">
        <w:rPr>
          <w:lang w:val="nl-BE"/>
        </w:rPr>
        <w:t xml:space="preserve">werd doelbewust </w:t>
      </w:r>
      <w:r w:rsidR="00062910" w:rsidRPr="0069784D">
        <w:rPr>
          <w:lang w:val="nl-BE"/>
        </w:rPr>
        <w:t>vóór artikel 433</w:t>
      </w:r>
      <w:r w:rsidR="00062910" w:rsidRPr="00F34B90">
        <w:rPr>
          <w:iCs/>
          <w:lang w:val="nl-BE"/>
        </w:rPr>
        <w:t>quinquies</w:t>
      </w:r>
      <w:r w:rsidR="00062910" w:rsidRPr="0069784D">
        <w:rPr>
          <w:lang w:val="nl-BE"/>
        </w:rPr>
        <w:t xml:space="preserve"> betreffende mensenhandel </w:t>
      </w:r>
      <w:r w:rsidR="009F015E" w:rsidRPr="0069784D">
        <w:rPr>
          <w:lang w:val="nl-BE"/>
        </w:rPr>
        <w:t xml:space="preserve">geplaatst </w:t>
      </w:r>
      <w:r w:rsidR="00062910" w:rsidRPr="0069784D">
        <w:rPr>
          <w:lang w:val="nl-BE"/>
        </w:rPr>
        <w:t xml:space="preserve">omdat </w:t>
      </w:r>
      <w:r w:rsidRPr="0069784D">
        <w:rPr>
          <w:lang w:val="nl-BE"/>
        </w:rPr>
        <w:t>het ene misdrijf in aanmerking genomen kan worden zonder afbreuk te doen aan het andere</w:t>
      </w:r>
      <w:r w:rsidR="00062910" w:rsidRPr="0069784D">
        <w:rPr>
          <w:lang w:val="nl-BE"/>
        </w:rPr>
        <w:t>.</w:t>
      </w:r>
    </w:p>
    <w:p w14:paraId="12793829" w14:textId="77777777" w:rsidR="00062910" w:rsidRPr="0069784D" w:rsidRDefault="00062910" w:rsidP="009C15CF">
      <w:pPr>
        <w:jc w:val="both"/>
        <w:rPr>
          <w:lang w:val="nl-BE"/>
        </w:rPr>
      </w:pPr>
    </w:p>
    <w:p w14:paraId="4F6C382A" w14:textId="0B5F8A9C" w:rsidR="00062910" w:rsidRPr="0069784D" w:rsidRDefault="00062910" w:rsidP="009C15CF">
      <w:pPr>
        <w:pStyle w:val="Heading3"/>
        <w:jc w:val="both"/>
        <w:rPr>
          <w:rFonts w:asciiTheme="minorHAnsi" w:hAnsiTheme="minorHAnsi" w:cstheme="minorHAnsi"/>
          <w:color w:val="auto"/>
          <w:sz w:val="28"/>
          <w:szCs w:val="28"/>
          <w:lang w:val="nl-BE"/>
        </w:rPr>
      </w:pPr>
      <w:bookmarkStart w:id="45" w:name="_Toc104923494"/>
      <w:r w:rsidRPr="0069784D">
        <w:rPr>
          <w:rFonts w:asciiTheme="minorHAnsi" w:hAnsiTheme="minorHAnsi"/>
          <w:color w:val="auto"/>
          <w:sz w:val="28"/>
          <w:lang w:val="nl-BE"/>
        </w:rPr>
        <w:t>Artikel 433quater/1</w:t>
      </w:r>
      <w:r w:rsidR="005E25B9" w:rsidRPr="0069784D">
        <w:rPr>
          <w:rFonts w:asciiTheme="minorHAnsi" w:hAnsiTheme="minorHAnsi"/>
          <w:color w:val="auto"/>
          <w:sz w:val="28"/>
          <w:lang w:val="nl-BE"/>
        </w:rPr>
        <w:t xml:space="preserve"> - P</w:t>
      </w:r>
      <w:r w:rsidRPr="0069784D">
        <w:rPr>
          <w:rFonts w:asciiTheme="minorHAnsi" w:hAnsiTheme="minorHAnsi"/>
          <w:color w:val="auto"/>
          <w:sz w:val="28"/>
          <w:lang w:val="nl-BE"/>
        </w:rPr>
        <w:t>ooierschap</w:t>
      </w:r>
      <w:bookmarkEnd w:id="45"/>
    </w:p>
    <w:p w14:paraId="05B370BD" w14:textId="77777777" w:rsidR="00062910" w:rsidRPr="0069784D" w:rsidRDefault="00062910" w:rsidP="009C15CF">
      <w:pPr>
        <w:jc w:val="both"/>
        <w:rPr>
          <w:b/>
          <w:bCs/>
          <w:lang w:val="nl-BE"/>
        </w:rPr>
      </w:pPr>
    </w:p>
    <w:p w14:paraId="4FF8AF18" w14:textId="2834A257" w:rsidR="00062910" w:rsidRPr="0069784D" w:rsidRDefault="00062910" w:rsidP="009C15CF">
      <w:pPr>
        <w:jc w:val="both"/>
        <w:rPr>
          <w:lang w:val="nl-BE"/>
        </w:rPr>
      </w:pPr>
      <w:r w:rsidRPr="0069784D">
        <w:rPr>
          <w:b/>
          <w:bCs/>
          <w:lang w:val="nl-BE"/>
        </w:rPr>
        <w:t>Artikel 380, §1, 1° tot 4° wordt opgeheven ten voordele van het nieuwe artikel 433quater</w:t>
      </w:r>
      <w:r w:rsidRPr="0069784D">
        <w:rPr>
          <w:b/>
          <w:bCs/>
          <w:i/>
          <w:iCs/>
          <w:lang w:val="nl-BE"/>
        </w:rPr>
        <w:t>/</w:t>
      </w:r>
      <w:r w:rsidRPr="0069784D">
        <w:rPr>
          <w:b/>
          <w:bCs/>
          <w:lang w:val="nl-BE"/>
        </w:rPr>
        <w:t>1</w:t>
      </w:r>
      <w:r w:rsidR="005E25B9" w:rsidRPr="0069784D">
        <w:rPr>
          <w:b/>
          <w:bCs/>
          <w:lang w:val="nl-BE"/>
        </w:rPr>
        <w:t>, dat</w:t>
      </w:r>
      <w:r w:rsidRPr="0069784D">
        <w:rPr>
          <w:b/>
          <w:bCs/>
          <w:lang w:val="nl-BE"/>
        </w:rPr>
        <w:t xml:space="preserve"> de volgende drie</w:t>
      </w:r>
      <w:r w:rsidR="005E25B9" w:rsidRPr="0069784D">
        <w:rPr>
          <w:b/>
          <w:bCs/>
          <w:lang w:val="nl-BE"/>
        </w:rPr>
        <w:t xml:space="preserve">ledige </w:t>
      </w:r>
      <w:r w:rsidRPr="0069784D">
        <w:rPr>
          <w:b/>
          <w:bCs/>
          <w:lang w:val="nl-BE"/>
        </w:rPr>
        <w:t xml:space="preserve">definitie van het </w:t>
      </w:r>
      <w:r w:rsidR="005E25B9" w:rsidRPr="0069784D">
        <w:rPr>
          <w:b/>
          <w:bCs/>
          <w:lang w:val="nl-BE"/>
        </w:rPr>
        <w:t>misdrijf ‘</w:t>
      </w:r>
      <w:r w:rsidRPr="0069784D">
        <w:rPr>
          <w:b/>
          <w:bCs/>
          <w:lang w:val="nl-BE"/>
        </w:rPr>
        <w:t>pooierschap</w:t>
      </w:r>
      <w:r w:rsidR="005E25B9" w:rsidRPr="0069784D">
        <w:rPr>
          <w:b/>
          <w:bCs/>
          <w:lang w:val="nl-BE"/>
        </w:rPr>
        <w:t>’</w:t>
      </w:r>
      <w:r w:rsidRPr="0069784D">
        <w:rPr>
          <w:b/>
          <w:bCs/>
          <w:lang w:val="nl-BE"/>
        </w:rPr>
        <w:t xml:space="preserve"> bevat</w:t>
      </w:r>
      <w:r w:rsidRPr="0069784D">
        <w:rPr>
          <w:lang w:val="nl-BE"/>
        </w:rPr>
        <w:t>:</w:t>
      </w:r>
    </w:p>
    <w:p w14:paraId="1261FA8C" w14:textId="77777777" w:rsidR="00062910" w:rsidRPr="0069784D" w:rsidRDefault="00062910" w:rsidP="009C15CF">
      <w:pPr>
        <w:jc w:val="both"/>
        <w:rPr>
          <w:i/>
          <w:iCs/>
          <w:lang w:val="nl-BE"/>
        </w:rPr>
      </w:pPr>
      <w:r w:rsidRPr="0069784D">
        <w:rPr>
          <w:i/>
          <w:lang w:val="nl-BE"/>
        </w:rPr>
        <w:t>“Het pooierschap bestaat, onverminderd de toepassing van artikel 433quinquies, uit een van de volgende daden gepleegd tegen een meerderjarig persoon:</w:t>
      </w:r>
    </w:p>
    <w:p w14:paraId="53D583A2" w14:textId="77777777" w:rsidR="00062910" w:rsidRPr="0069784D" w:rsidRDefault="00062910" w:rsidP="009C15CF">
      <w:pPr>
        <w:pStyle w:val="ListParagraph"/>
        <w:numPr>
          <w:ilvl w:val="0"/>
          <w:numId w:val="9"/>
        </w:numPr>
        <w:jc w:val="both"/>
        <w:rPr>
          <w:i/>
          <w:iCs/>
          <w:lang w:val="nl-BE"/>
        </w:rPr>
      </w:pPr>
      <w:r w:rsidRPr="0069784D">
        <w:rPr>
          <w:i/>
          <w:lang w:val="nl-BE"/>
        </w:rPr>
        <w:t>het organiseren van de prostitutie van een ander met als doel het bekomen van een voordeel, behalve in de gevallen die de wet bepaalt;</w:t>
      </w:r>
    </w:p>
    <w:p w14:paraId="4127AF39" w14:textId="77777777" w:rsidR="00062910" w:rsidRPr="0069784D" w:rsidRDefault="00062910" w:rsidP="009C15CF">
      <w:pPr>
        <w:pStyle w:val="ListParagraph"/>
        <w:numPr>
          <w:ilvl w:val="0"/>
          <w:numId w:val="9"/>
        </w:numPr>
        <w:jc w:val="both"/>
        <w:rPr>
          <w:i/>
          <w:iCs/>
          <w:lang w:val="nl-BE"/>
        </w:rPr>
      </w:pPr>
      <w:r w:rsidRPr="0069784D">
        <w:rPr>
          <w:i/>
          <w:lang w:val="nl-BE"/>
        </w:rPr>
        <w:t>het bevorderen, ertoe aanzetten, aanmoedigen of vergemakkelijken van prostitutie met als doel het, rechtstreeks of onrechtstreeks, bekomen van een abnormaal economisch voordeel of elk ander abnormaal voordeel;</w:t>
      </w:r>
    </w:p>
    <w:p w14:paraId="2A7A0197" w14:textId="77777777" w:rsidR="00062910" w:rsidRPr="0069784D" w:rsidRDefault="00062910" w:rsidP="009C15CF">
      <w:pPr>
        <w:pStyle w:val="ListParagraph"/>
        <w:numPr>
          <w:ilvl w:val="0"/>
          <w:numId w:val="9"/>
        </w:numPr>
        <w:jc w:val="both"/>
        <w:rPr>
          <w:i/>
          <w:iCs/>
          <w:lang w:val="nl-BE"/>
        </w:rPr>
      </w:pPr>
      <w:r w:rsidRPr="0069784D">
        <w:rPr>
          <w:i/>
          <w:lang w:val="nl-BE"/>
        </w:rPr>
        <w:t>maatregelen nemen om het verlaten van de prostitutie te verhinderen of te bemoeilijken.”</w:t>
      </w:r>
    </w:p>
    <w:p w14:paraId="259BB634" w14:textId="47A4E808" w:rsidR="00062910" w:rsidRPr="0069784D" w:rsidRDefault="005E25B9" w:rsidP="009C15CF">
      <w:pPr>
        <w:jc w:val="both"/>
        <w:rPr>
          <w:lang w:val="nl-BE"/>
        </w:rPr>
      </w:pPr>
      <w:r w:rsidRPr="0069784D">
        <w:rPr>
          <w:lang w:val="nl-BE"/>
        </w:rPr>
        <w:t>Het vroegere a</w:t>
      </w:r>
      <w:r w:rsidR="00062910" w:rsidRPr="0069784D">
        <w:rPr>
          <w:lang w:val="nl-BE"/>
        </w:rPr>
        <w:t>rtikel 380, §1 luidde als volgt:</w:t>
      </w:r>
    </w:p>
    <w:p w14:paraId="61A9B325" w14:textId="77777777" w:rsidR="00062910" w:rsidRPr="0069784D" w:rsidRDefault="00062910" w:rsidP="009C15CF">
      <w:pPr>
        <w:ind w:left="360"/>
        <w:jc w:val="both"/>
        <w:rPr>
          <w:i/>
          <w:iCs/>
          <w:lang w:val="nl-BE"/>
        </w:rPr>
      </w:pPr>
      <w:r w:rsidRPr="0069784D">
        <w:rPr>
          <w:lang w:val="nl-BE"/>
        </w:rPr>
        <w:t>“</w:t>
      </w:r>
      <w:r w:rsidRPr="0069784D">
        <w:rPr>
          <w:i/>
          <w:iCs/>
          <w:lang w:val="nl-BE"/>
        </w:rPr>
        <w:t>1° hij die, ten einde eens anders driften te voldoen, een meerderjarige zelfs met zijn toestemming, aanwerft, meeneemt, wegbrengt of bij zich houdt met het oog op het plegen van ontucht of prostitutie;</w:t>
      </w:r>
      <w:r w:rsidRPr="0069784D">
        <w:rPr>
          <w:i/>
          <w:lang w:val="nl-BE"/>
        </w:rPr>
        <w:t xml:space="preserve">  </w:t>
      </w:r>
    </w:p>
    <w:p w14:paraId="464A6C81" w14:textId="1C664B9B" w:rsidR="00062910" w:rsidRPr="0069784D" w:rsidRDefault="00062910" w:rsidP="009C15CF">
      <w:pPr>
        <w:ind w:left="360"/>
        <w:jc w:val="both"/>
        <w:rPr>
          <w:i/>
          <w:iCs/>
          <w:lang w:val="nl-BE"/>
        </w:rPr>
      </w:pPr>
      <w:r w:rsidRPr="0069784D">
        <w:rPr>
          <w:i/>
          <w:iCs/>
          <w:lang w:val="nl-BE"/>
        </w:rPr>
        <w:lastRenderedPageBreak/>
        <w:t>2° hij die een huis van ontucht of prostitutie houdt;</w:t>
      </w:r>
    </w:p>
    <w:p w14:paraId="30317771" w14:textId="77777777" w:rsidR="00062910" w:rsidRPr="0069784D" w:rsidRDefault="00062910" w:rsidP="009C15CF">
      <w:pPr>
        <w:ind w:left="360"/>
        <w:jc w:val="both"/>
        <w:rPr>
          <w:i/>
          <w:iCs/>
          <w:lang w:val="nl-BE"/>
        </w:rPr>
      </w:pPr>
      <w:r w:rsidRPr="0069784D">
        <w:rPr>
          <w:i/>
          <w:iCs/>
          <w:lang w:val="nl-BE"/>
        </w:rPr>
        <w:t>3° hij die kamers of enige andere ruimte verkoopt, verhuurt of ter beschikking stelt met het oog op prostitutie met de bedoeling een abnormaal profijt te realiseren;</w:t>
      </w:r>
      <w:r w:rsidRPr="0069784D">
        <w:rPr>
          <w:i/>
          <w:lang w:val="nl-BE"/>
        </w:rPr>
        <w:t xml:space="preserve"> </w:t>
      </w:r>
    </w:p>
    <w:p w14:paraId="74BFF713" w14:textId="1170E299" w:rsidR="00062910" w:rsidRPr="0069784D" w:rsidRDefault="00062910" w:rsidP="009C15CF">
      <w:pPr>
        <w:ind w:left="360"/>
        <w:jc w:val="both"/>
        <w:rPr>
          <w:i/>
          <w:iCs/>
          <w:lang w:val="nl-BE"/>
        </w:rPr>
      </w:pPr>
      <w:r w:rsidRPr="0069784D">
        <w:rPr>
          <w:i/>
          <w:lang w:val="nl-BE"/>
        </w:rPr>
        <w:t>4° hij die, op welke manier ook, eens anders ontucht of prostitutie exploiteert.”</w:t>
      </w:r>
    </w:p>
    <w:p w14:paraId="0376899E" w14:textId="1AB29ABB" w:rsidR="00062910" w:rsidRPr="0069784D" w:rsidRDefault="005E25B9" w:rsidP="009C15CF">
      <w:pPr>
        <w:spacing w:after="0"/>
        <w:jc w:val="both"/>
        <w:rPr>
          <w:lang w:val="nl-BE"/>
        </w:rPr>
      </w:pPr>
      <w:r w:rsidRPr="0069784D">
        <w:rPr>
          <w:lang w:val="nl-BE"/>
        </w:rPr>
        <w:t>Het begrip</w:t>
      </w:r>
      <w:r w:rsidR="00062910" w:rsidRPr="0069784D">
        <w:rPr>
          <w:lang w:val="nl-BE"/>
        </w:rPr>
        <w:t xml:space="preserve"> </w:t>
      </w:r>
      <w:r w:rsidRPr="0069784D">
        <w:rPr>
          <w:lang w:val="nl-BE"/>
        </w:rPr>
        <w:t>‘</w:t>
      </w:r>
      <w:r w:rsidR="00062910" w:rsidRPr="0069784D">
        <w:rPr>
          <w:lang w:val="nl-BE"/>
        </w:rPr>
        <w:t>profijt</w:t>
      </w:r>
      <w:r w:rsidRPr="0069784D">
        <w:rPr>
          <w:lang w:val="nl-BE"/>
        </w:rPr>
        <w:t>’</w:t>
      </w:r>
      <w:r w:rsidR="00062910" w:rsidRPr="0069784D">
        <w:rPr>
          <w:lang w:val="nl-BE"/>
        </w:rPr>
        <w:t xml:space="preserve"> </w:t>
      </w:r>
      <w:r w:rsidRPr="0069784D">
        <w:rPr>
          <w:lang w:val="nl-BE"/>
        </w:rPr>
        <w:t>nam reeds een centrale plaats in</w:t>
      </w:r>
      <w:r w:rsidR="00B6592B">
        <w:rPr>
          <w:lang w:val="nl-BE"/>
        </w:rPr>
        <w:t>,</w:t>
      </w:r>
      <w:r w:rsidR="00062910" w:rsidRPr="0069784D">
        <w:rPr>
          <w:lang w:val="nl-BE"/>
        </w:rPr>
        <w:t xml:space="preserve"> in de in het vroegere artikel 380, §1, 2°, 3° en 4° van het Strafwetboek vermelde hypotheses</w:t>
      </w:r>
      <w:r w:rsidR="00B6592B">
        <w:rPr>
          <w:lang w:val="nl-BE"/>
        </w:rPr>
        <w:t>,</w:t>
      </w:r>
      <w:r w:rsidR="00062910" w:rsidRPr="0069784D">
        <w:rPr>
          <w:lang w:val="nl-BE"/>
        </w:rPr>
        <w:t xml:space="preserve"> waarbij in</w:t>
      </w:r>
      <w:r w:rsidRPr="0069784D">
        <w:rPr>
          <w:lang w:val="nl-BE"/>
        </w:rPr>
        <w:t xml:space="preserve"> </w:t>
      </w:r>
      <w:r w:rsidR="00062910" w:rsidRPr="0069784D">
        <w:rPr>
          <w:lang w:val="nl-BE"/>
        </w:rPr>
        <w:t xml:space="preserve">geval </w:t>
      </w:r>
      <w:r w:rsidRPr="0069784D">
        <w:rPr>
          <w:lang w:val="nl-BE"/>
        </w:rPr>
        <w:t xml:space="preserve">van </w:t>
      </w:r>
      <w:r w:rsidR="00B6592B">
        <w:rPr>
          <w:lang w:val="nl-BE"/>
        </w:rPr>
        <w:t xml:space="preserve">verkoop, </w:t>
      </w:r>
      <w:r w:rsidR="00B6592B" w:rsidRPr="00CA031F">
        <w:rPr>
          <w:lang w:val="nl-BE"/>
        </w:rPr>
        <w:t>verhuur</w:t>
      </w:r>
      <w:r w:rsidR="00B6592B">
        <w:rPr>
          <w:lang w:val="nl-BE"/>
        </w:rPr>
        <w:t xml:space="preserve"> of ter beschikking stellen</w:t>
      </w:r>
      <w:r w:rsidR="00B6592B" w:rsidRPr="00CA031F">
        <w:rPr>
          <w:lang w:val="nl-BE"/>
        </w:rPr>
        <w:t xml:space="preserve"> van k</w:t>
      </w:r>
      <w:r w:rsidR="00B6592B">
        <w:rPr>
          <w:lang w:val="nl-BE"/>
        </w:rPr>
        <w:t>amers</w:t>
      </w:r>
      <w:r w:rsidR="00062910" w:rsidRPr="0069784D">
        <w:rPr>
          <w:lang w:val="nl-BE"/>
        </w:rPr>
        <w:t xml:space="preserve"> </w:t>
      </w:r>
      <w:r w:rsidR="00B6592B">
        <w:rPr>
          <w:lang w:val="nl-BE"/>
        </w:rPr>
        <w:t xml:space="preserve">men </w:t>
      </w:r>
      <w:r w:rsidR="00B6592B" w:rsidRPr="00CA031F">
        <w:rPr>
          <w:lang w:val="nl-BE"/>
        </w:rPr>
        <w:t>een abnormaal profijt diende t</w:t>
      </w:r>
      <w:r w:rsidR="00B6592B">
        <w:rPr>
          <w:lang w:val="nl-BE"/>
        </w:rPr>
        <w:t>e beogen</w:t>
      </w:r>
      <w:r w:rsidR="00062910" w:rsidRPr="0069784D">
        <w:rPr>
          <w:lang w:val="nl-BE"/>
        </w:rPr>
        <w:t xml:space="preserve">. In de nieuwe bepalingen wordt de voorkeur gegeven aan </w:t>
      </w:r>
      <w:r w:rsidRPr="0069784D">
        <w:rPr>
          <w:lang w:val="nl-BE"/>
        </w:rPr>
        <w:t>het</w:t>
      </w:r>
      <w:r w:rsidR="00062910" w:rsidRPr="0069784D">
        <w:rPr>
          <w:lang w:val="nl-BE"/>
        </w:rPr>
        <w:t xml:space="preserve"> meer algemene </w:t>
      </w:r>
      <w:r w:rsidRPr="0069784D">
        <w:rPr>
          <w:lang w:val="nl-BE"/>
        </w:rPr>
        <w:t xml:space="preserve">begrip </w:t>
      </w:r>
      <w:r w:rsidRPr="0069784D">
        <w:rPr>
          <w:i/>
          <w:iCs/>
          <w:lang w:val="nl-BE"/>
        </w:rPr>
        <w:t>‘</w:t>
      </w:r>
      <w:r w:rsidR="00062910" w:rsidRPr="0069784D">
        <w:rPr>
          <w:b/>
          <w:bCs/>
          <w:lang w:val="nl-BE"/>
        </w:rPr>
        <w:t>voordeel</w:t>
      </w:r>
      <w:r w:rsidRPr="0069784D">
        <w:rPr>
          <w:lang w:val="nl-BE"/>
        </w:rPr>
        <w:t>’</w:t>
      </w:r>
      <w:r w:rsidR="00062910" w:rsidRPr="0069784D">
        <w:rPr>
          <w:lang w:val="nl-BE"/>
        </w:rPr>
        <w:t>.</w:t>
      </w:r>
    </w:p>
    <w:p w14:paraId="758A33A8" w14:textId="77777777" w:rsidR="00062910" w:rsidRPr="0069784D" w:rsidRDefault="00062910" w:rsidP="009C15CF">
      <w:pPr>
        <w:spacing w:after="0"/>
        <w:jc w:val="both"/>
        <w:rPr>
          <w:lang w:val="nl-BE"/>
        </w:rPr>
      </w:pPr>
    </w:p>
    <w:p w14:paraId="51ECBC40" w14:textId="10BA60E9" w:rsidR="00062910" w:rsidRPr="0069784D" w:rsidRDefault="00062910" w:rsidP="009C15CF">
      <w:pPr>
        <w:spacing w:after="0"/>
        <w:jc w:val="both"/>
        <w:rPr>
          <w:lang w:val="nl-BE"/>
        </w:rPr>
      </w:pPr>
      <w:r w:rsidRPr="0069784D">
        <w:rPr>
          <w:lang w:val="nl-BE"/>
        </w:rPr>
        <w:t xml:space="preserve">Er </w:t>
      </w:r>
      <w:r w:rsidR="005E25B9" w:rsidRPr="0069784D">
        <w:rPr>
          <w:lang w:val="nl-BE"/>
        </w:rPr>
        <w:t>kan</w:t>
      </w:r>
      <w:r w:rsidRPr="0069784D">
        <w:rPr>
          <w:lang w:val="nl-BE"/>
        </w:rPr>
        <w:t xml:space="preserve"> vastgesteld </w:t>
      </w:r>
      <w:r w:rsidR="005E25B9" w:rsidRPr="0069784D">
        <w:rPr>
          <w:lang w:val="nl-BE"/>
        </w:rPr>
        <w:t xml:space="preserve">worden </w:t>
      </w:r>
      <w:r w:rsidRPr="0069784D">
        <w:rPr>
          <w:lang w:val="nl-BE"/>
        </w:rPr>
        <w:t xml:space="preserve">dat in lid 2 van het nieuwe artikel 433quater/1 de </w:t>
      </w:r>
      <w:r w:rsidR="005E25B9" w:rsidRPr="0069784D">
        <w:rPr>
          <w:lang w:val="nl-BE"/>
        </w:rPr>
        <w:t>bewoording</w:t>
      </w:r>
      <w:r w:rsidRPr="0069784D">
        <w:rPr>
          <w:lang w:val="nl-BE"/>
        </w:rPr>
        <w:t xml:space="preserve"> </w:t>
      </w:r>
      <w:r w:rsidR="005E25B9" w:rsidRPr="0069784D">
        <w:rPr>
          <w:lang w:val="nl-BE"/>
        </w:rPr>
        <w:t>‘</w:t>
      </w:r>
      <w:r w:rsidRPr="0069784D">
        <w:rPr>
          <w:lang w:val="nl-BE"/>
        </w:rPr>
        <w:t>aanwerven, meenemen, wegbrengen of bij zich houden</w:t>
      </w:r>
      <w:r w:rsidR="005E25B9" w:rsidRPr="0069784D">
        <w:rPr>
          <w:lang w:val="nl-BE"/>
        </w:rPr>
        <w:t>’</w:t>
      </w:r>
      <w:r w:rsidRPr="0069784D">
        <w:rPr>
          <w:lang w:val="nl-BE"/>
        </w:rPr>
        <w:t xml:space="preserve"> van het vroegere artikel 380 van het Strafwetboek werd vervangen door </w:t>
      </w:r>
      <w:r w:rsidR="005E25B9" w:rsidRPr="0069784D">
        <w:rPr>
          <w:lang w:val="nl-BE"/>
        </w:rPr>
        <w:t>‘</w:t>
      </w:r>
      <w:r w:rsidRPr="0069784D">
        <w:rPr>
          <w:lang w:val="nl-BE"/>
        </w:rPr>
        <w:t>het bevorderen, ertoe aanzetten, aanmoedigen of vergemakkelijken van prostitutie</w:t>
      </w:r>
      <w:r w:rsidR="005E25B9" w:rsidRPr="0069784D">
        <w:rPr>
          <w:lang w:val="nl-BE"/>
        </w:rPr>
        <w:t>’</w:t>
      </w:r>
      <w:r w:rsidRPr="0069784D">
        <w:rPr>
          <w:lang w:val="nl-BE"/>
        </w:rPr>
        <w:t xml:space="preserve">, maar dat deze </w:t>
      </w:r>
      <w:r w:rsidR="005E25B9" w:rsidRPr="0069784D">
        <w:rPr>
          <w:lang w:val="nl-BE"/>
        </w:rPr>
        <w:t>handelingen</w:t>
      </w:r>
      <w:r w:rsidRPr="0069784D">
        <w:rPr>
          <w:lang w:val="nl-BE"/>
        </w:rPr>
        <w:t xml:space="preserve"> in tegenstelling tot wat werd bepaald in het vroegere artikel 380 van het Strafwetboek slechts strafbaar zijn als het doel erin bestaat om </w:t>
      </w:r>
      <w:r w:rsidRPr="0069784D">
        <w:rPr>
          <w:b/>
          <w:bCs/>
          <w:lang w:val="nl-BE"/>
        </w:rPr>
        <w:t>er</w:t>
      </w:r>
      <w:r w:rsidR="00713CD1" w:rsidRPr="0069784D">
        <w:rPr>
          <w:b/>
          <w:bCs/>
          <w:lang w:val="nl-BE"/>
        </w:rPr>
        <w:t>,</w:t>
      </w:r>
      <w:r w:rsidRPr="0069784D">
        <w:rPr>
          <w:b/>
          <w:bCs/>
          <w:lang w:val="nl-BE"/>
        </w:rPr>
        <w:t xml:space="preserve"> rechtstreeks of onrechtstreeks, een abnormaal economisch voordeel of elk ander abnormaal voordeel uit te halen</w:t>
      </w:r>
      <w:r w:rsidRPr="0069784D">
        <w:rPr>
          <w:lang w:val="nl-BE"/>
        </w:rPr>
        <w:t xml:space="preserve"> (bv. een voordeel van seksuele aard).</w:t>
      </w:r>
    </w:p>
    <w:p w14:paraId="01FEC5C9" w14:textId="77777777" w:rsidR="00062910" w:rsidRPr="0069784D" w:rsidRDefault="00062910" w:rsidP="009C15CF">
      <w:pPr>
        <w:spacing w:after="0"/>
        <w:jc w:val="both"/>
        <w:rPr>
          <w:lang w:val="nl-BE"/>
        </w:rPr>
      </w:pPr>
    </w:p>
    <w:p w14:paraId="25F65E07" w14:textId="27E7FFAB" w:rsidR="00062910" w:rsidRPr="0069784D" w:rsidRDefault="00062910" w:rsidP="009C15CF">
      <w:pPr>
        <w:jc w:val="both"/>
        <w:rPr>
          <w:lang w:val="nl-BE"/>
        </w:rPr>
      </w:pPr>
      <w:r w:rsidRPr="0069784D">
        <w:rPr>
          <w:lang w:val="nl-BE"/>
        </w:rPr>
        <w:t xml:space="preserve">Er wordt ook vastgesteld dat </w:t>
      </w:r>
      <w:r w:rsidR="005E25B9" w:rsidRPr="0069784D">
        <w:rPr>
          <w:b/>
          <w:bCs/>
          <w:lang w:val="nl-BE"/>
        </w:rPr>
        <w:t>het begrip</w:t>
      </w:r>
      <w:r w:rsidRPr="0069784D">
        <w:rPr>
          <w:b/>
          <w:bCs/>
          <w:lang w:val="nl-BE"/>
        </w:rPr>
        <w:t xml:space="preserve"> </w:t>
      </w:r>
      <w:r w:rsidR="005E25B9" w:rsidRPr="0069784D">
        <w:rPr>
          <w:b/>
          <w:bCs/>
          <w:lang w:val="nl-BE"/>
        </w:rPr>
        <w:t>‘</w:t>
      </w:r>
      <w:r w:rsidRPr="0069784D">
        <w:rPr>
          <w:b/>
          <w:bCs/>
          <w:i/>
          <w:iCs/>
          <w:lang w:val="nl-BE"/>
        </w:rPr>
        <w:t>ontucht</w:t>
      </w:r>
      <w:r w:rsidR="005E25B9" w:rsidRPr="0069784D">
        <w:rPr>
          <w:b/>
          <w:bCs/>
          <w:i/>
          <w:iCs/>
          <w:lang w:val="nl-BE"/>
        </w:rPr>
        <w:t>’</w:t>
      </w:r>
      <w:r w:rsidRPr="0069784D">
        <w:rPr>
          <w:b/>
          <w:bCs/>
          <w:lang w:val="nl-BE"/>
        </w:rPr>
        <w:t xml:space="preserve"> niet </w:t>
      </w:r>
      <w:r w:rsidR="005E25B9" w:rsidRPr="0069784D">
        <w:rPr>
          <w:b/>
          <w:bCs/>
          <w:lang w:val="nl-BE"/>
        </w:rPr>
        <w:t>langer</w:t>
      </w:r>
      <w:r w:rsidRPr="0069784D">
        <w:rPr>
          <w:lang w:val="nl-BE"/>
        </w:rPr>
        <w:t xml:space="preserve"> in het nieuwe artikel 433quater/1 </w:t>
      </w:r>
      <w:r w:rsidRPr="0069784D">
        <w:rPr>
          <w:b/>
          <w:bCs/>
          <w:lang w:val="nl-BE"/>
        </w:rPr>
        <w:t>wordt vermeld</w:t>
      </w:r>
      <w:r w:rsidRPr="0069784D">
        <w:rPr>
          <w:lang w:val="nl-BE"/>
        </w:rPr>
        <w:t xml:space="preserve"> omdat dit begrip volgens de wetgever tot de privésfeer behoort. Er </w:t>
      </w:r>
      <w:r w:rsidR="00713CD1" w:rsidRPr="0069784D">
        <w:rPr>
          <w:lang w:val="nl-BE"/>
        </w:rPr>
        <w:t>kan</w:t>
      </w:r>
      <w:r w:rsidRPr="0069784D">
        <w:rPr>
          <w:lang w:val="nl-BE"/>
        </w:rPr>
        <w:t xml:space="preserve"> evenwel op worden gewezen dat het in artikel 433quinquies van het Strafwetboek vermelde misdrijf </w:t>
      </w:r>
      <w:r w:rsidR="005E25B9" w:rsidRPr="0069784D">
        <w:rPr>
          <w:lang w:val="nl-BE"/>
        </w:rPr>
        <w:t>‘</w:t>
      </w:r>
      <w:r w:rsidRPr="0069784D">
        <w:rPr>
          <w:lang w:val="nl-BE"/>
        </w:rPr>
        <w:t>mensenhandel met het oog op seksuele uitbuiting</w:t>
      </w:r>
      <w:r w:rsidR="005E25B9" w:rsidRPr="0069784D">
        <w:rPr>
          <w:lang w:val="nl-BE"/>
        </w:rPr>
        <w:t>’</w:t>
      </w:r>
      <w:r w:rsidRPr="0069784D">
        <w:rPr>
          <w:lang w:val="nl-BE"/>
        </w:rPr>
        <w:t xml:space="preserve"> nog steeds de uitbuiting van prostitutie of </w:t>
      </w:r>
      <w:r w:rsidRPr="0069784D">
        <w:rPr>
          <w:b/>
          <w:bCs/>
          <w:lang w:val="nl-BE"/>
        </w:rPr>
        <w:t>andere vormen van seksuele uitbuiting, waaronder ontucht</w:t>
      </w:r>
      <w:r w:rsidR="005E25B9" w:rsidRPr="0069784D">
        <w:rPr>
          <w:b/>
          <w:bCs/>
          <w:lang w:val="nl-BE"/>
        </w:rPr>
        <w:t xml:space="preserve">, </w:t>
      </w:r>
      <w:r w:rsidR="005E25B9" w:rsidRPr="0069784D">
        <w:rPr>
          <w:lang w:val="nl-BE"/>
        </w:rPr>
        <w:t>als doel heeft</w:t>
      </w:r>
      <w:r w:rsidR="00554A53">
        <w:rPr>
          <w:lang w:val="nl-BE"/>
        </w:rPr>
        <w:t>.</w:t>
      </w:r>
      <w:r w:rsidR="005E25B9" w:rsidRPr="0069784D">
        <w:rPr>
          <w:lang w:val="nl-BE"/>
        </w:rPr>
        <w:t xml:space="preserve"> </w:t>
      </w:r>
      <w:r w:rsidR="00B6592B">
        <w:rPr>
          <w:lang w:val="nl-BE"/>
        </w:rPr>
        <w:t xml:space="preserve">Ontucht kan dus het voorwerp van het </w:t>
      </w:r>
      <w:r w:rsidR="00554A53">
        <w:rPr>
          <w:lang w:val="nl-BE"/>
        </w:rPr>
        <w:t>misdrijf mensenhandel</w:t>
      </w:r>
      <w:r w:rsidR="00B6592B">
        <w:rPr>
          <w:lang w:val="nl-BE"/>
        </w:rPr>
        <w:t xml:space="preserve"> zijn, maar niet langer van het misdrijf pooierschap.</w:t>
      </w:r>
      <w:r w:rsidRPr="0069784D">
        <w:rPr>
          <w:lang w:val="nl-BE"/>
        </w:rPr>
        <w:t xml:space="preserve"> </w:t>
      </w:r>
    </w:p>
    <w:p w14:paraId="7781FA40" w14:textId="5204C4F2" w:rsidR="00062910" w:rsidRPr="0069784D" w:rsidRDefault="00062910" w:rsidP="009C15CF">
      <w:pPr>
        <w:jc w:val="both"/>
        <w:rPr>
          <w:lang w:val="nl-BE"/>
        </w:rPr>
      </w:pPr>
      <w:r w:rsidRPr="0069784D">
        <w:rPr>
          <w:b/>
          <w:bCs/>
          <w:lang w:val="nl-BE"/>
        </w:rPr>
        <w:t xml:space="preserve">Het in artikel 380, 2° van het Strafwetboek </w:t>
      </w:r>
      <w:r w:rsidR="00E67059" w:rsidRPr="0069784D">
        <w:rPr>
          <w:b/>
          <w:bCs/>
          <w:lang w:val="nl-BE"/>
        </w:rPr>
        <w:t>bedoelde</w:t>
      </w:r>
      <w:r w:rsidRPr="0069784D">
        <w:rPr>
          <w:b/>
          <w:bCs/>
          <w:lang w:val="nl-BE"/>
        </w:rPr>
        <w:t xml:space="preserve"> misdrijf inzake het houden van een huis van ontucht of prostitutie wordt eveneens opgeheven.</w:t>
      </w:r>
      <w:r w:rsidRPr="0069784D">
        <w:rPr>
          <w:lang w:val="nl-BE"/>
        </w:rPr>
        <w:t xml:space="preserve"> </w:t>
      </w:r>
      <w:r w:rsidR="00E67059" w:rsidRPr="0069784D">
        <w:rPr>
          <w:lang w:val="nl-BE"/>
        </w:rPr>
        <w:t>Het</w:t>
      </w:r>
      <w:r w:rsidRPr="0069784D">
        <w:rPr>
          <w:lang w:val="nl-BE"/>
        </w:rPr>
        <w:t xml:space="preserve"> louter houden van een huis van prostitutie waar enkel meerderjarigen werken en waar er geen sprake is van enige seksuele uitbuiting</w:t>
      </w:r>
      <w:r w:rsidR="00E67059" w:rsidRPr="0069784D">
        <w:rPr>
          <w:lang w:val="nl-BE"/>
        </w:rPr>
        <w:t>, is met andere woorden</w:t>
      </w:r>
      <w:r w:rsidRPr="0069784D">
        <w:rPr>
          <w:lang w:val="nl-BE"/>
        </w:rPr>
        <w:t xml:space="preserve"> niet langer een misdrijf (</w:t>
      </w:r>
      <w:r w:rsidR="00713CD1" w:rsidRPr="0069784D">
        <w:rPr>
          <w:lang w:val="nl-BE"/>
        </w:rPr>
        <w:t xml:space="preserve">cf. </w:t>
      </w:r>
      <w:r w:rsidRPr="0069784D">
        <w:rPr>
          <w:lang w:val="nl-BE"/>
        </w:rPr>
        <w:t>DOC 55 2141/001).</w:t>
      </w:r>
    </w:p>
    <w:p w14:paraId="506A5393" w14:textId="638762FD" w:rsidR="00062910" w:rsidRPr="0069784D" w:rsidRDefault="00062910" w:rsidP="009C15CF">
      <w:pPr>
        <w:jc w:val="both"/>
        <w:rPr>
          <w:lang w:val="nl-BE"/>
        </w:rPr>
      </w:pPr>
      <w:r w:rsidRPr="0069784D">
        <w:rPr>
          <w:lang w:val="nl-BE"/>
        </w:rPr>
        <w:t>Derhalve is overeenkomstig het nieuwe artikel 433quater/1, 1° het houden van een huis van prostitutie voortaan niet meer strafbaar</w:t>
      </w:r>
      <w:r w:rsidR="00E67059" w:rsidRPr="0069784D">
        <w:rPr>
          <w:lang w:val="nl-BE"/>
        </w:rPr>
        <w:t>,</w:t>
      </w:r>
      <w:r w:rsidRPr="0069784D">
        <w:rPr>
          <w:lang w:val="nl-BE"/>
        </w:rPr>
        <w:t xml:space="preserve"> behalve indien kan worden bewezen dat de prostitutie van een ander wordt georganiseerd om er een voordeel uit te halen, </w:t>
      </w:r>
      <w:r w:rsidR="003F10E9">
        <w:rPr>
          <w:lang w:val="nl-BE"/>
        </w:rPr>
        <w:t xml:space="preserve">en </w:t>
      </w:r>
      <w:r w:rsidR="00B6592B">
        <w:rPr>
          <w:lang w:val="nl-BE"/>
        </w:rPr>
        <w:t>behalve in</w:t>
      </w:r>
      <w:r w:rsidR="00B6592B" w:rsidRPr="0069784D">
        <w:rPr>
          <w:lang w:val="nl-BE"/>
        </w:rPr>
        <w:t xml:space="preserve"> </w:t>
      </w:r>
      <w:r w:rsidRPr="0069784D">
        <w:rPr>
          <w:lang w:val="nl-BE"/>
        </w:rPr>
        <w:t xml:space="preserve">de gevallen die de wet bepaalt. </w:t>
      </w:r>
      <w:r w:rsidRPr="0069784D">
        <w:rPr>
          <w:i/>
          <w:iCs/>
          <w:lang w:val="nl-BE"/>
        </w:rPr>
        <w:t>(Momenteel is deze wet nog niet voorhanden.)</w:t>
      </w:r>
      <w:r w:rsidRPr="0069784D">
        <w:rPr>
          <w:lang w:val="nl-BE"/>
        </w:rPr>
        <w:t xml:space="preserve"> Ook indien kan worden bewezen dat de prostitutie van een ander wordt georganiseerd om er een voordeel uit te halen, zou het houden van een huis van prostitutie </w:t>
      </w:r>
      <w:r w:rsidR="00E67059" w:rsidRPr="0069784D">
        <w:rPr>
          <w:lang w:val="nl-BE"/>
        </w:rPr>
        <w:t xml:space="preserve">dus </w:t>
      </w:r>
      <w:r w:rsidRPr="0069784D">
        <w:rPr>
          <w:lang w:val="nl-BE"/>
        </w:rPr>
        <w:t xml:space="preserve">niet langer strafbaar kunnen zijn als </w:t>
      </w:r>
      <w:r w:rsidR="00E67059" w:rsidRPr="0069784D">
        <w:rPr>
          <w:lang w:val="nl-BE"/>
        </w:rPr>
        <w:t xml:space="preserve">de toekomstige wet dit dus zo zou bepalen </w:t>
      </w:r>
      <w:r w:rsidRPr="0069784D">
        <w:rPr>
          <w:lang w:val="nl-BE"/>
        </w:rPr>
        <w:t xml:space="preserve">(bewoording </w:t>
      </w:r>
      <w:r w:rsidR="00E67059" w:rsidRPr="0069784D">
        <w:rPr>
          <w:i/>
          <w:iCs/>
          <w:lang w:val="nl-BE"/>
        </w:rPr>
        <w:t>‘</w:t>
      </w:r>
      <w:r w:rsidRPr="0069784D">
        <w:rPr>
          <w:i/>
          <w:iCs/>
          <w:lang w:val="nl-BE"/>
        </w:rPr>
        <w:t>behalve in de gevallen die de wet bepaalt</w:t>
      </w:r>
      <w:r w:rsidR="00E67059" w:rsidRPr="0069784D">
        <w:rPr>
          <w:i/>
          <w:iCs/>
          <w:lang w:val="nl-BE"/>
        </w:rPr>
        <w:t>’</w:t>
      </w:r>
      <w:r w:rsidRPr="0069784D">
        <w:rPr>
          <w:lang w:val="nl-BE"/>
        </w:rPr>
        <w:t>).</w:t>
      </w:r>
    </w:p>
    <w:p w14:paraId="1A14FEA7" w14:textId="6C0C617C" w:rsidR="00062910" w:rsidRPr="0069784D" w:rsidRDefault="00B6592B" w:rsidP="009C15CF">
      <w:pPr>
        <w:jc w:val="both"/>
        <w:rPr>
          <w:lang w:val="nl-BE"/>
        </w:rPr>
      </w:pPr>
      <w:r>
        <w:rPr>
          <w:lang w:val="nl-BE"/>
        </w:rPr>
        <w:t>H</w:t>
      </w:r>
      <w:r w:rsidR="00062910" w:rsidRPr="0069784D">
        <w:rPr>
          <w:lang w:val="nl-BE"/>
        </w:rPr>
        <w:t>et nieuwe artikel 433quater/1, 1° vervangt eveneens het vroegere artikel 380, 3° van het Strafwetboek</w:t>
      </w:r>
      <w:r w:rsidR="00E67059" w:rsidRPr="0069784D">
        <w:rPr>
          <w:lang w:val="nl-BE"/>
        </w:rPr>
        <w:t>,</w:t>
      </w:r>
      <w:r w:rsidR="00062910" w:rsidRPr="0069784D">
        <w:rPr>
          <w:lang w:val="nl-BE"/>
        </w:rPr>
        <w:t xml:space="preserve"> waarin het verkopen, verhuren of ter beschikking stellen </w:t>
      </w:r>
      <w:r w:rsidR="00062910" w:rsidRPr="00B6592B">
        <w:rPr>
          <w:lang w:val="nl-BE"/>
        </w:rPr>
        <w:t xml:space="preserve">van </w:t>
      </w:r>
      <w:r w:rsidR="00062910" w:rsidRPr="00B6592B">
        <w:rPr>
          <w:iCs/>
          <w:lang w:val="nl-BE"/>
        </w:rPr>
        <w:t>kamers of enige andere ruimte met het oog op prostitutie met de bedoeling een abnormaal profijt te realiseren</w:t>
      </w:r>
      <w:r w:rsidRPr="00B6592B">
        <w:rPr>
          <w:lang w:val="nl-BE"/>
        </w:rPr>
        <w:t xml:space="preserve"> </w:t>
      </w:r>
      <w:r w:rsidRPr="003812DA">
        <w:rPr>
          <w:lang w:val="nl-BE"/>
        </w:rPr>
        <w:t>strafbaar werd gesteld</w:t>
      </w:r>
      <w:r w:rsidR="00062910" w:rsidRPr="0069784D">
        <w:rPr>
          <w:i/>
          <w:iCs/>
          <w:lang w:val="nl-BE"/>
        </w:rPr>
        <w:t>.</w:t>
      </w:r>
    </w:p>
    <w:p w14:paraId="327A14C0" w14:textId="67B8312F" w:rsidR="00062910" w:rsidRPr="0069784D" w:rsidRDefault="00062910" w:rsidP="009C15CF">
      <w:pPr>
        <w:jc w:val="both"/>
        <w:rPr>
          <w:lang w:val="nl-BE"/>
        </w:rPr>
      </w:pPr>
      <w:r w:rsidRPr="0069784D">
        <w:rPr>
          <w:lang w:val="nl-BE"/>
        </w:rPr>
        <w:t xml:space="preserve">Er zal tegen de houders van een huis van prostitutie of de </w:t>
      </w:r>
      <w:r w:rsidR="00B6592B" w:rsidRPr="003812DA">
        <w:rPr>
          <w:lang w:val="nl-BE"/>
        </w:rPr>
        <w:t>personen die ruimtes t</w:t>
      </w:r>
      <w:r w:rsidR="00B6592B">
        <w:rPr>
          <w:lang w:val="nl-BE"/>
        </w:rPr>
        <w:t>er beschikking stellen voor prostitutie</w:t>
      </w:r>
      <w:r w:rsidRPr="0069784D">
        <w:rPr>
          <w:lang w:val="nl-BE"/>
        </w:rPr>
        <w:t xml:space="preserve"> met andere woorden geen vervolging meer worden ingesteld, behalve indien kan worden bewezen dat de prostitutie binnen hun etablissement wordt georganiseerd met de bedoeling </w:t>
      </w:r>
      <w:r w:rsidRPr="0069784D">
        <w:rPr>
          <w:lang w:val="nl-BE"/>
        </w:rPr>
        <w:lastRenderedPageBreak/>
        <w:t xml:space="preserve">een </w:t>
      </w:r>
      <w:r w:rsidR="00B6592B">
        <w:rPr>
          <w:lang w:val="nl-BE"/>
        </w:rPr>
        <w:t>voordeel te realiseren en/of indien</w:t>
      </w:r>
      <w:r w:rsidRPr="0069784D">
        <w:rPr>
          <w:lang w:val="nl-BE"/>
        </w:rPr>
        <w:t xml:space="preserve"> ze zich schuldig maken aan </w:t>
      </w:r>
      <w:r w:rsidR="00B6592B" w:rsidRPr="00BA75CA">
        <w:rPr>
          <w:lang w:val="nl-BE"/>
        </w:rPr>
        <w:t>de in h</w:t>
      </w:r>
      <w:r w:rsidR="00B6592B">
        <w:rPr>
          <w:lang w:val="nl-BE"/>
        </w:rPr>
        <w:t>et tweede en derde lid</w:t>
      </w:r>
      <w:r w:rsidR="00B6592B" w:rsidRPr="0069784D">
        <w:rPr>
          <w:lang w:val="nl-BE"/>
        </w:rPr>
        <w:t xml:space="preserve"> </w:t>
      </w:r>
      <w:r w:rsidRPr="0069784D">
        <w:rPr>
          <w:lang w:val="nl-BE"/>
        </w:rPr>
        <w:t>vermelde misdrijven.</w:t>
      </w:r>
    </w:p>
    <w:p w14:paraId="107AD98D" w14:textId="66B62D53" w:rsidR="00062910" w:rsidRPr="0069784D" w:rsidRDefault="00062910" w:rsidP="009C15CF">
      <w:pPr>
        <w:ind w:left="360"/>
        <w:jc w:val="both"/>
        <w:rPr>
          <w:lang w:val="nl-BE"/>
        </w:rPr>
      </w:pPr>
      <w:r w:rsidRPr="0069784D">
        <w:rPr>
          <w:lang w:val="nl-BE"/>
        </w:rPr>
        <w:t>Voorbeeld 1: Een eigenaar verhuurt kamers met het oog op prostitutie</w:t>
      </w:r>
      <w:r w:rsidR="00B6592B">
        <w:rPr>
          <w:lang w:val="nl-BE"/>
        </w:rPr>
        <w:t>,</w:t>
      </w:r>
      <w:r w:rsidRPr="0069784D">
        <w:rPr>
          <w:lang w:val="nl-BE"/>
        </w:rPr>
        <w:t xml:space="preserve"> </w:t>
      </w:r>
      <w:r w:rsidR="00B6592B" w:rsidRPr="00BA75CA">
        <w:rPr>
          <w:lang w:val="nl-BE"/>
        </w:rPr>
        <w:t>en zijn tarieven z</w:t>
      </w:r>
      <w:r w:rsidR="00B6592B">
        <w:rPr>
          <w:lang w:val="nl-BE"/>
        </w:rPr>
        <w:t xml:space="preserve">ijn hoger gezien men voor de prostitutie verhuurt. Dit is </w:t>
      </w:r>
      <w:r w:rsidRPr="0069784D">
        <w:rPr>
          <w:lang w:val="nl-BE"/>
        </w:rPr>
        <w:t>het vergemakkelijken van prostitutie met als doel het realiseren van een abnormaal voordeel (</w:t>
      </w:r>
      <w:r w:rsidR="00B6592B" w:rsidRPr="00BA75CA">
        <w:rPr>
          <w:lang w:val="nl-BE"/>
        </w:rPr>
        <w:t>misdrijf voorzien onder h</w:t>
      </w:r>
      <w:r w:rsidR="00B6592B">
        <w:rPr>
          <w:lang w:val="nl-BE"/>
        </w:rPr>
        <w:t>et tweede lid).</w:t>
      </w:r>
    </w:p>
    <w:p w14:paraId="53F8BADB" w14:textId="37922DF4" w:rsidR="00062910" w:rsidRPr="0069784D" w:rsidRDefault="00062910" w:rsidP="009C15CF">
      <w:pPr>
        <w:ind w:left="360"/>
        <w:jc w:val="both"/>
        <w:rPr>
          <w:lang w:val="nl-BE"/>
        </w:rPr>
      </w:pPr>
      <w:r w:rsidRPr="0069784D">
        <w:rPr>
          <w:lang w:val="nl-BE"/>
        </w:rPr>
        <w:t xml:space="preserve">Voorbeeld 2: Een eigenaar verhuurt niet alleen kamers, maar stelt ook telefonisten ter beschikking die de klant in zijn eigen taal te woord kunnen staan, zorgt ervoor dat er via </w:t>
      </w:r>
      <w:r w:rsidRPr="00B6592B">
        <w:rPr>
          <w:iCs/>
          <w:lang w:val="nl-BE"/>
        </w:rPr>
        <w:t>WhatsApp</w:t>
      </w:r>
      <w:r w:rsidRPr="0069784D">
        <w:rPr>
          <w:lang w:val="nl-BE"/>
        </w:rPr>
        <w:t xml:space="preserve"> wordt ingestaan voor het klantenbeheer en beheert de inkomsten, plaatst advertenties op de websites </w:t>
      </w:r>
      <w:r w:rsidRPr="0069784D">
        <w:rPr>
          <w:i/>
          <w:iCs/>
          <w:lang w:val="nl-BE"/>
        </w:rPr>
        <w:t>Redlights</w:t>
      </w:r>
      <w:r w:rsidRPr="0069784D">
        <w:rPr>
          <w:lang w:val="nl-BE"/>
        </w:rPr>
        <w:t xml:space="preserve"> of </w:t>
      </w:r>
      <w:r w:rsidRPr="0069784D">
        <w:rPr>
          <w:i/>
          <w:iCs/>
          <w:lang w:val="nl-BE"/>
        </w:rPr>
        <w:t>Quartier Rouge</w:t>
      </w:r>
      <w:r w:rsidRPr="0069784D">
        <w:rPr>
          <w:lang w:val="nl-BE"/>
        </w:rPr>
        <w:t xml:space="preserve"> of ontvangt als tussenpe</w:t>
      </w:r>
      <w:r w:rsidR="00B6592B">
        <w:rPr>
          <w:lang w:val="nl-BE"/>
        </w:rPr>
        <w:t xml:space="preserve">rsoon per klant een vergoeding. Dit is een vorm </w:t>
      </w:r>
      <w:r w:rsidRPr="0069784D">
        <w:rPr>
          <w:lang w:val="nl-BE"/>
        </w:rPr>
        <w:t>van het organiseren van prostitutie zonder dat er een abnormaa</w:t>
      </w:r>
      <w:r w:rsidR="00B6592B">
        <w:rPr>
          <w:lang w:val="nl-BE"/>
        </w:rPr>
        <w:t>l voordeel wordt gerealiseerd (</w:t>
      </w:r>
      <w:r w:rsidR="00B6592B" w:rsidRPr="00BA75CA">
        <w:rPr>
          <w:lang w:val="nl-BE"/>
        </w:rPr>
        <w:t xml:space="preserve">misdrijf voorzien onder het </w:t>
      </w:r>
      <w:r w:rsidR="00B6592B">
        <w:rPr>
          <w:lang w:val="nl-BE"/>
        </w:rPr>
        <w:t>eerste</w:t>
      </w:r>
      <w:r w:rsidR="00B6592B" w:rsidRPr="00BA75CA">
        <w:rPr>
          <w:lang w:val="nl-BE"/>
        </w:rPr>
        <w:t xml:space="preserve"> lid</w:t>
      </w:r>
      <w:r w:rsidRPr="0069784D">
        <w:rPr>
          <w:lang w:val="nl-BE"/>
        </w:rPr>
        <w:t>) (behalve in de gevallen die de wet bepaal</w:t>
      </w:r>
      <w:r w:rsidR="00E67059" w:rsidRPr="0069784D">
        <w:rPr>
          <w:lang w:val="nl-BE"/>
        </w:rPr>
        <w:t>t</w:t>
      </w:r>
      <w:r w:rsidRPr="0069784D">
        <w:rPr>
          <w:lang w:val="nl-BE"/>
        </w:rPr>
        <w:t xml:space="preserve">, maar het is </w:t>
      </w:r>
      <w:r w:rsidR="00E67059" w:rsidRPr="0069784D">
        <w:rPr>
          <w:lang w:val="nl-BE"/>
        </w:rPr>
        <w:t xml:space="preserve">momenteel dus </w:t>
      </w:r>
      <w:r w:rsidRPr="0069784D">
        <w:rPr>
          <w:lang w:val="nl-BE"/>
        </w:rPr>
        <w:t xml:space="preserve">niet bekend over welke gevallen het </w:t>
      </w:r>
      <w:r w:rsidR="00E25D18">
        <w:rPr>
          <w:lang w:val="nl-BE"/>
        </w:rPr>
        <w:t xml:space="preserve">precies </w:t>
      </w:r>
      <w:r w:rsidRPr="0069784D">
        <w:rPr>
          <w:lang w:val="nl-BE"/>
        </w:rPr>
        <w:t>gaat!).</w:t>
      </w:r>
    </w:p>
    <w:p w14:paraId="4E5822DE" w14:textId="77777777" w:rsidR="00240A9B" w:rsidRPr="00240A9B" w:rsidRDefault="00240A9B" w:rsidP="009C15CF">
      <w:pPr>
        <w:ind w:left="360"/>
        <w:jc w:val="both"/>
        <w:rPr>
          <w:lang w:val="nl-BE"/>
        </w:rPr>
      </w:pPr>
      <w:r w:rsidRPr="00240A9B">
        <w:rPr>
          <w:lang w:val="nl-BE"/>
        </w:rPr>
        <w:t xml:space="preserve">In de memorie van toelichting worden (op p. 73 tot 74) voorbeelden gegeven van abnormale voordelen: </w:t>
      </w:r>
    </w:p>
    <w:p w14:paraId="263E85E7" w14:textId="0F823837" w:rsidR="00240A9B" w:rsidRPr="00240A9B" w:rsidRDefault="00240A9B" w:rsidP="009C15CF">
      <w:pPr>
        <w:ind w:left="360"/>
        <w:jc w:val="both"/>
        <w:rPr>
          <w:lang w:val="nl-BE"/>
        </w:rPr>
      </w:pPr>
      <w:r w:rsidRPr="00240A9B">
        <w:rPr>
          <w:lang w:val="nl-BE"/>
        </w:rPr>
        <w:t>-</w:t>
      </w:r>
      <w:r w:rsidRPr="00240A9B">
        <w:rPr>
          <w:lang w:val="nl-BE"/>
        </w:rPr>
        <w:tab/>
        <w:t xml:space="preserve">Het begrip </w:t>
      </w:r>
      <w:r w:rsidR="00E25D18">
        <w:rPr>
          <w:i/>
          <w:iCs/>
          <w:lang w:val="nl-BE"/>
        </w:rPr>
        <w:t>‘</w:t>
      </w:r>
      <w:r w:rsidRPr="00240A9B">
        <w:rPr>
          <w:i/>
          <w:iCs/>
          <w:lang w:val="nl-BE"/>
        </w:rPr>
        <w:t>abnormaal voordeel</w:t>
      </w:r>
      <w:r w:rsidR="00E25D18">
        <w:rPr>
          <w:i/>
          <w:iCs/>
          <w:lang w:val="nl-BE"/>
        </w:rPr>
        <w:t>’</w:t>
      </w:r>
      <w:r w:rsidRPr="00240A9B">
        <w:rPr>
          <w:lang w:val="nl-BE"/>
        </w:rPr>
        <w:t xml:space="preserve"> is een </w:t>
      </w:r>
      <w:r w:rsidR="002C433B">
        <w:rPr>
          <w:lang w:val="nl-BE"/>
        </w:rPr>
        <w:t>‘</w:t>
      </w:r>
      <w:r w:rsidRPr="00240A9B">
        <w:rPr>
          <w:lang w:val="nl-BE"/>
        </w:rPr>
        <w:t>open</w:t>
      </w:r>
      <w:r w:rsidR="002C433B">
        <w:rPr>
          <w:lang w:val="nl-BE"/>
        </w:rPr>
        <w:t>’</w:t>
      </w:r>
      <w:r w:rsidRPr="00240A9B">
        <w:rPr>
          <w:lang w:val="nl-BE"/>
        </w:rPr>
        <w:t xml:space="preserve"> begrip dat zowel betrekking kan hebben op een direct als een indirect voordeel;</w:t>
      </w:r>
    </w:p>
    <w:p w14:paraId="47A3ADEF" w14:textId="68E77A8C" w:rsidR="00240A9B" w:rsidRPr="00240A9B" w:rsidRDefault="00240A9B" w:rsidP="009C15CF">
      <w:pPr>
        <w:ind w:left="360"/>
        <w:jc w:val="both"/>
        <w:rPr>
          <w:lang w:val="nl-BE"/>
        </w:rPr>
      </w:pPr>
      <w:r w:rsidRPr="00240A9B">
        <w:rPr>
          <w:lang w:val="nl-BE"/>
        </w:rPr>
        <w:t>-</w:t>
      </w:r>
      <w:r w:rsidRPr="00240A9B">
        <w:rPr>
          <w:lang w:val="nl-BE"/>
        </w:rPr>
        <w:tab/>
      </w:r>
      <w:r w:rsidR="00E25D18">
        <w:rPr>
          <w:lang w:val="nl-BE"/>
        </w:rPr>
        <w:t>E</w:t>
      </w:r>
      <w:r w:rsidRPr="00240A9B">
        <w:rPr>
          <w:lang w:val="nl-BE"/>
        </w:rPr>
        <w:t xml:space="preserve">en pseudo-juridisch statuut (van zelfstandige of actieve vennoot) </w:t>
      </w:r>
      <w:r w:rsidR="00F8703F">
        <w:rPr>
          <w:lang w:val="nl-BE"/>
        </w:rPr>
        <w:t>opleggen</w:t>
      </w:r>
      <w:r w:rsidRPr="00240A9B">
        <w:rPr>
          <w:lang w:val="nl-BE"/>
        </w:rPr>
        <w:t>;</w:t>
      </w:r>
    </w:p>
    <w:p w14:paraId="6D547A72" w14:textId="72DC73CE" w:rsidR="00240A9B" w:rsidRPr="00240A9B" w:rsidRDefault="00240A9B" w:rsidP="009C15CF">
      <w:pPr>
        <w:ind w:left="360"/>
        <w:jc w:val="both"/>
        <w:rPr>
          <w:lang w:val="nl-BE"/>
        </w:rPr>
      </w:pPr>
      <w:r w:rsidRPr="00240A9B">
        <w:rPr>
          <w:lang w:val="nl-BE"/>
        </w:rPr>
        <w:t>-</w:t>
      </w:r>
      <w:r w:rsidRPr="00240A9B">
        <w:rPr>
          <w:lang w:val="nl-BE"/>
        </w:rPr>
        <w:tab/>
      </w:r>
      <w:r w:rsidR="00F8703F">
        <w:rPr>
          <w:lang w:val="nl-BE"/>
        </w:rPr>
        <w:t>De opeenstapeling van</w:t>
      </w:r>
      <w:r w:rsidRPr="00240A9B">
        <w:rPr>
          <w:lang w:val="nl-BE"/>
        </w:rPr>
        <w:t xml:space="preserve"> kosten ten laste van de </w:t>
      </w:r>
      <w:r w:rsidR="00F8703F" w:rsidRPr="00BA75CA">
        <w:rPr>
          <w:lang w:val="nl-BE"/>
        </w:rPr>
        <w:t>prostitué</w:t>
      </w:r>
      <w:r w:rsidRPr="00240A9B">
        <w:rPr>
          <w:lang w:val="nl-BE"/>
        </w:rPr>
        <w:t xml:space="preserve"> (kurkengeld, waskosten, forfaitair bedrag voor water/schoonmaak/rentmeesterschap/maaltijden) </w:t>
      </w:r>
      <w:r w:rsidR="00E25D18">
        <w:rPr>
          <w:lang w:val="nl-BE"/>
        </w:rPr>
        <w:t>aanrekenen</w:t>
      </w:r>
      <w:r w:rsidRPr="00240A9B">
        <w:rPr>
          <w:lang w:val="nl-BE"/>
        </w:rPr>
        <w:t>;</w:t>
      </w:r>
    </w:p>
    <w:p w14:paraId="5CEA5256" w14:textId="18A5FEFA" w:rsidR="00240A9B" w:rsidRPr="00240A9B" w:rsidRDefault="00240A9B" w:rsidP="009C15CF">
      <w:pPr>
        <w:ind w:left="360"/>
        <w:jc w:val="both"/>
        <w:rPr>
          <w:lang w:val="nl-BE"/>
        </w:rPr>
      </w:pPr>
      <w:r w:rsidRPr="00240A9B">
        <w:rPr>
          <w:lang w:val="nl-BE"/>
        </w:rPr>
        <w:t>-</w:t>
      </w:r>
      <w:r w:rsidRPr="00240A9B">
        <w:rPr>
          <w:lang w:val="nl-BE"/>
        </w:rPr>
        <w:tab/>
      </w:r>
      <w:r w:rsidR="00F8703F" w:rsidRPr="00BA75CA">
        <w:rPr>
          <w:lang w:val="nl-BE"/>
        </w:rPr>
        <w:t>Slechte werkomstandigheden die d</w:t>
      </w:r>
      <w:r w:rsidR="00F8703F">
        <w:rPr>
          <w:lang w:val="nl-BE"/>
        </w:rPr>
        <w:t xml:space="preserve">e </w:t>
      </w:r>
      <w:r w:rsidR="00E25D18">
        <w:rPr>
          <w:lang w:val="nl-BE"/>
        </w:rPr>
        <w:t>exploitatie</w:t>
      </w:r>
      <w:r w:rsidRPr="00240A9B">
        <w:rPr>
          <w:lang w:val="nl-BE"/>
        </w:rPr>
        <w:t>kosten drukken (verwarming, hygiëne);</w:t>
      </w:r>
    </w:p>
    <w:p w14:paraId="24658EE0" w14:textId="6D1581C6" w:rsidR="00240A9B" w:rsidRPr="00240A9B" w:rsidRDefault="00240A9B" w:rsidP="009C15CF">
      <w:pPr>
        <w:ind w:left="360"/>
        <w:jc w:val="both"/>
        <w:rPr>
          <w:lang w:val="nl-BE"/>
        </w:rPr>
      </w:pPr>
      <w:r w:rsidRPr="00240A9B">
        <w:rPr>
          <w:lang w:val="nl-BE"/>
        </w:rPr>
        <w:t>-</w:t>
      </w:r>
      <w:r w:rsidRPr="00240A9B">
        <w:rPr>
          <w:lang w:val="nl-BE"/>
        </w:rPr>
        <w:tab/>
      </w:r>
      <w:r w:rsidR="00F8703F" w:rsidRPr="00B33549">
        <w:rPr>
          <w:lang w:val="nl-BE"/>
        </w:rPr>
        <w:t xml:space="preserve">De </w:t>
      </w:r>
      <w:r w:rsidR="00F8703F">
        <w:rPr>
          <w:lang w:val="nl-BE"/>
        </w:rPr>
        <w:t>aangeboden seksuele</w:t>
      </w:r>
      <w:r w:rsidRPr="00240A9B">
        <w:rPr>
          <w:lang w:val="nl-BE"/>
        </w:rPr>
        <w:t xml:space="preserve"> diensten;</w:t>
      </w:r>
    </w:p>
    <w:p w14:paraId="6726F4D9" w14:textId="7BD246B4" w:rsidR="00240A9B" w:rsidRPr="00240A9B" w:rsidRDefault="00240A9B" w:rsidP="009C15CF">
      <w:pPr>
        <w:ind w:left="360"/>
        <w:jc w:val="both"/>
        <w:rPr>
          <w:lang w:val="nl-BE"/>
        </w:rPr>
      </w:pPr>
      <w:r w:rsidRPr="00240A9B">
        <w:rPr>
          <w:lang w:val="nl-BE"/>
        </w:rPr>
        <w:t>-</w:t>
      </w:r>
      <w:r w:rsidRPr="00240A9B">
        <w:rPr>
          <w:lang w:val="nl-BE"/>
        </w:rPr>
        <w:tab/>
      </w:r>
      <w:r w:rsidR="00F8703F" w:rsidRPr="00B33549">
        <w:rPr>
          <w:lang w:val="nl-BE"/>
        </w:rPr>
        <w:t>De afwezigheid v</w:t>
      </w:r>
      <w:r w:rsidR="00F8703F">
        <w:rPr>
          <w:lang w:val="nl-BE"/>
        </w:rPr>
        <w:t>an een</w:t>
      </w:r>
      <w:r w:rsidR="00F8703F" w:rsidRPr="00240A9B">
        <w:rPr>
          <w:lang w:val="nl-BE"/>
        </w:rPr>
        <w:t xml:space="preserve"> </w:t>
      </w:r>
      <w:r w:rsidRPr="00240A9B">
        <w:rPr>
          <w:lang w:val="nl-BE"/>
        </w:rPr>
        <w:t>nauwkeurige en controleerbare boekhouding;</w:t>
      </w:r>
    </w:p>
    <w:p w14:paraId="5C8C21FD" w14:textId="70FFAA3D" w:rsidR="00240A9B" w:rsidRPr="00240A9B" w:rsidRDefault="00240A9B" w:rsidP="009C15CF">
      <w:pPr>
        <w:ind w:left="360"/>
        <w:jc w:val="both"/>
        <w:rPr>
          <w:lang w:val="nl-BE"/>
        </w:rPr>
      </w:pPr>
      <w:r w:rsidRPr="00240A9B">
        <w:rPr>
          <w:lang w:val="nl-BE"/>
        </w:rPr>
        <w:t>-</w:t>
      </w:r>
      <w:r w:rsidRPr="00240A9B">
        <w:rPr>
          <w:lang w:val="nl-BE"/>
        </w:rPr>
        <w:tab/>
      </w:r>
      <w:r w:rsidR="00F8703F" w:rsidRPr="00B33549">
        <w:rPr>
          <w:lang w:val="nl-BE"/>
        </w:rPr>
        <w:t>Het g</w:t>
      </w:r>
      <w:r w:rsidR="00F8703F">
        <w:rPr>
          <w:lang w:val="nl-BE"/>
        </w:rPr>
        <w:t>egeven van</w:t>
      </w:r>
      <w:r w:rsidR="00F8703F" w:rsidRPr="00240A9B">
        <w:rPr>
          <w:lang w:val="nl-BE"/>
        </w:rPr>
        <w:t xml:space="preserve"> </w:t>
      </w:r>
      <w:r w:rsidRPr="00240A9B">
        <w:rPr>
          <w:lang w:val="nl-BE"/>
        </w:rPr>
        <w:t xml:space="preserve">een prostituee meer </w:t>
      </w:r>
      <w:r w:rsidR="00F8703F">
        <w:rPr>
          <w:lang w:val="nl-BE"/>
        </w:rPr>
        <w:t xml:space="preserve">te </w:t>
      </w:r>
      <w:r w:rsidRPr="00240A9B">
        <w:rPr>
          <w:lang w:val="nl-BE"/>
        </w:rPr>
        <w:t xml:space="preserve">factureren dan een andere klant; </w:t>
      </w:r>
      <w:r w:rsidR="00F8703F">
        <w:rPr>
          <w:lang w:val="nl-BE"/>
        </w:rPr>
        <w:t>Ook in dit geval zou men</w:t>
      </w:r>
      <w:r w:rsidRPr="00240A9B">
        <w:rPr>
          <w:lang w:val="nl-BE"/>
        </w:rPr>
        <w:t xml:space="preserve"> in de toekomst niet meer kunnen worden bestraft als ze binnen de grenzen van een nog </w:t>
      </w:r>
      <w:r w:rsidR="00E25D18">
        <w:rPr>
          <w:lang w:val="nl-BE"/>
        </w:rPr>
        <w:t>niet gepubliceerde</w:t>
      </w:r>
      <w:r w:rsidRPr="00240A9B">
        <w:rPr>
          <w:lang w:val="nl-BE"/>
        </w:rPr>
        <w:t xml:space="preserve"> wet handelen (bewoording </w:t>
      </w:r>
      <w:r w:rsidR="00E25D18">
        <w:rPr>
          <w:i/>
          <w:iCs/>
          <w:lang w:val="nl-BE"/>
        </w:rPr>
        <w:t>‘</w:t>
      </w:r>
      <w:r w:rsidRPr="00240A9B">
        <w:rPr>
          <w:i/>
          <w:iCs/>
          <w:lang w:val="nl-BE"/>
        </w:rPr>
        <w:t>behalve in de gevallen die de wet bepaalt</w:t>
      </w:r>
      <w:r w:rsidR="00E25D18">
        <w:rPr>
          <w:i/>
          <w:iCs/>
          <w:lang w:val="nl-BE"/>
        </w:rPr>
        <w:t>’</w:t>
      </w:r>
      <w:r w:rsidRPr="00240A9B">
        <w:rPr>
          <w:lang w:val="nl-BE"/>
        </w:rPr>
        <w:t>).</w:t>
      </w:r>
    </w:p>
    <w:p w14:paraId="0700DC1A" w14:textId="18119D43" w:rsidR="00240A9B" w:rsidRPr="00240A9B" w:rsidRDefault="00240A9B" w:rsidP="009C15CF">
      <w:pPr>
        <w:ind w:left="360"/>
        <w:jc w:val="both"/>
        <w:rPr>
          <w:b/>
          <w:bCs/>
          <w:lang w:val="nl-BE"/>
        </w:rPr>
      </w:pPr>
      <w:r w:rsidRPr="00240A9B">
        <w:rPr>
          <w:lang w:val="nl-BE"/>
        </w:rPr>
        <w:t xml:space="preserve">Ter herinnering: zowel in de vroegere als in de nieuwe bepalingen </w:t>
      </w:r>
      <w:r w:rsidR="00E25D18">
        <w:rPr>
          <w:lang w:val="nl-BE"/>
        </w:rPr>
        <w:t>wordt de bewoording</w:t>
      </w:r>
      <w:r w:rsidRPr="00240A9B">
        <w:rPr>
          <w:lang w:val="nl-BE"/>
        </w:rPr>
        <w:t xml:space="preserve"> </w:t>
      </w:r>
      <w:r w:rsidR="00E25D18" w:rsidRPr="00E25D18">
        <w:rPr>
          <w:b/>
          <w:bCs/>
          <w:lang w:val="nl-BE"/>
        </w:rPr>
        <w:t>‘</w:t>
      </w:r>
      <w:r w:rsidRPr="00240A9B">
        <w:rPr>
          <w:b/>
          <w:bCs/>
          <w:i/>
          <w:iCs/>
          <w:lang w:val="nl-BE"/>
        </w:rPr>
        <w:t>met de bedoeling</w:t>
      </w:r>
      <w:r w:rsidR="00E25D18">
        <w:rPr>
          <w:b/>
          <w:bCs/>
          <w:i/>
          <w:iCs/>
          <w:lang w:val="nl-BE"/>
        </w:rPr>
        <w:t>’</w:t>
      </w:r>
      <w:r w:rsidRPr="00240A9B">
        <w:rPr>
          <w:lang w:val="nl-BE"/>
        </w:rPr>
        <w:t xml:space="preserve"> een abnormaal voordeel te realiseren gebruikt</w:t>
      </w:r>
      <w:r w:rsidR="002C433B">
        <w:rPr>
          <w:lang w:val="nl-BE"/>
        </w:rPr>
        <w:t>, waardoor</w:t>
      </w:r>
      <w:r w:rsidRPr="00240A9B">
        <w:rPr>
          <w:lang w:val="nl-BE"/>
        </w:rPr>
        <w:t xml:space="preserve"> het dus niet noodzakelijk</w:t>
      </w:r>
      <w:r w:rsidR="002C433B">
        <w:rPr>
          <w:lang w:val="nl-BE"/>
        </w:rPr>
        <w:t xml:space="preserve"> is</w:t>
      </w:r>
      <w:r w:rsidRPr="00240A9B">
        <w:rPr>
          <w:lang w:val="nl-BE"/>
        </w:rPr>
        <w:t xml:space="preserve"> om te bewijzen dat dit voordeel </w:t>
      </w:r>
      <w:r w:rsidR="002C433B">
        <w:rPr>
          <w:lang w:val="nl-BE"/>
        </w:rPr>
        <w:t xml:space="preserve">ook </w:t>
      </w:r>
      <w:r w:rsidRPr="00240A9B">
        <w:rPr>
          <w:lang w:val="nl-BE"/>
        </w:rPr>
        <w:t>werd gerealiseerd.</w:t>
      </w:r>
    </w:p>
    <w:p w14:paraId="47088838" w14:textId="13DEC6DF" w:rsidR="00240A9B" w:rsidRPr="00240A9B" w:rsidRDefault="00240A9B" w:rsidP="009C15CF">
      <w:pPr>
        <w:jc w:val="both"/>
        <w:rPr>
          <w:lang w:val="nl-BE"/>
        </w:rPr>
      </w:pPr>
      <w:r w:rsidRPr="00240A9B">
        <w:rPr>
          <w:lang w:val="nl-BE"/>
        </w:rPr>
        <w:t xml:space="preserve">In het amendement nr. 79 (dat blijkbaar aan de basis van de formulering van dit artikel ligt) wordt </w:t>
      </w:r>
      <w:r w:rsidR="00E25D18">
        <w:rPr>
          <w:lang w:val="nl-BE"/>
        </w:rPr>
        <w:t xml:space="preserve">hiervoor ook </w:t>
      </w:r>
      <w:r w:rsidRPr="00240A9B">
        <w:rPr>
          <w:lang w:val="nl-BE"/>
        </w:rPr>
        <w:t>een aantal voorbeelden gegeven (cf. 2141/005, p. 14-15):</w:t>
      </w:r>
    </w:p>
    <w:p w14:paraId="2D5E9DB8" w14:textId="3492FC0B" w:rsidR="00240A9B" w:rsidRPr="00240A9B" w:rsidRDefault="00240A9B" w:rsidP="009C15CF">
      <w:pPr>
        <w:jc w:val="both"/>
        <w:rPr>
          <w:lang w:val="nl-BE"/>
        </w:rPr>
      </w:pPr>
      <w:r w:rsidRPr="00240A9B">
        <w:rPr>
          <w:lang w:val="nl-BE"/>
        </w:rPr>
        <w:t xml:space="preserve">Organiseren = tegen een vergoeding een hiërarchische controle uitoefenen, een specifieke manier van werken opleggen, tegen een vergoeding het werk coördineren zoals </w:t>
      </w:r>
      <w:r w:rsidR="00F8703F" w:rsidRPr="00B33549">
        <w:rPr>
          <w:lang w:val="nl-BE"/>
        </w:rPr>
        <w:t>het werk, het</w:t>
      </w:r>
      <w:r w:rsidR="00F8703F" w:rsidRPr="00240A9B">
        <w:rPr>
          <w:lang w:val="nl-BE"/>
        </w:rPr>
        <w:t xml:space="preserve"> </w:t>
      </w:r>
      <w:r w:rsidRPr="00240A9B">
        <w:rPr>
          <w:lang w:val="nl-BE"/>
        </w:rPr>
        <w:t xml:space="preserve">werkschema of de werktijden bepalen. Voor zover klanten of derden, zoals boekhouders, chauffeurs of verhuurders geen mededader of medeplichtige van de pooier zijn, </w:t>
      </w:r>
      <w:r w:rsidR="00F8703F" w:rsidRPr="00B33549">
        <w:rPr>
          <w:lang w:val="nl-BE"/>
        </w:rPr>
        <w:t>worden zij niet g</w:t>
      </w:r>
      <w:r w:rsidR="00F8703F">
        <w:rPr>
          <w:lang w:val="nl-BE"/>
        </w:rPr>
        <w:t>eviseerd</w:t>
      </w:r>
      <w:r w:rsidRPr="00240A9B">
        <w:rPr>
          <w:lang w:val="nl-BE"/>
        </w:rPr>
        <w:t>.</w:t>
      </w:r>
    </w:p>
    <w:p w14:paraId="21D5595D" w14:textId="0A480D87" w:rsidR="00240A9B" w:rsidRPr="00240A9B" w:rsidRDefault="00240A9B" w:rsidP="009C15CF">
      <w:pPr>
        <w:jc w:val="both"/>
        <w:rPr>
          <w:lang w:val="nl-BE"/>
        </w:rPr>
      </w:pPr>
      <w:r w:rsidRPr="00240A9B">
        <w:rPr>
          <w:lang w:val="nl-BE"/>
        </w:rPr>
        <w:t xml:space="preserve">Het tweede streepje zou </w:t>
      </w:r>
      <w:r w:rsidR="00F8703F" w:rsidRPr="00173321">
        <w:rPr>
          <w:lang w:val="nl-BE"/>
        </w:rPr>
        <w:t>per</w:t>
      </w:r>
      <w:r w:rsidR="00554A53">
        <w:rPr>
          <w:lang w:val="nl-BE"/>
        </w:rPr>
        <w:t>s</w:t>
      </w:r>
      <w:r w:rsidR="00F8703F" w:rsidRPr="00173321">
        <w:rPr>
          <w:lang w:val="nl-BE"/>
        </w:rPr>
        <w:t>onen viseren</w:t>
      </w:r>
      <w:r w:rsidR="00F8703F" w:rsidRPr="00240A9B">
        <w:rPr>
          <w:lang w:val="nl-BE"/>
        </w:rPr>
        <w:t xml:space="preserve"> </w:t>
      </w:r>
      <w:r w:rsidRPr="00240A9B">
        <w:rPr>
          <w:lang w:val="nl-BE"/>
        </w:rPr>
        <w:t xml:space="preserve">die misbruik maken van het </w:t>
      </w:r>
      <w:r w:rsidR="00E25D18">
        <w:rPr>
          <w:lang w:val="nl-BE"/>
        </w:rPr>
        <w:t>seksuele dienst</w:t>
      </w:r>
      <w:r w:rsidR="00F8703F">
        <w:rPr>
          <w:lang w:val="nl-BE"/>
        </w:rPr>
        <w:t xml:space="preserve">aanbod en ook </w:t>
      </w:r>
      <w:r w:rsidRPr="00240A9B">
        <w:rPr>
          <w:lang w:val="nl-BE"/>
        </w:rPr>
        <w:t xml:space="preserve"> </w:t>
      </w:r>
      <w:r w:rsidR="00E25D18">
        <w:rPr>
          <w:lang w:val="nl-BE"/>
        </w:rPr>
        <w:t xml:space="preserve">zij </w:t>
      </w:r>
      <w:r w:rsidRPr="00240A9B">
        <w:rPr>
          <w:lang w:val="nl-BE"/>
        </w:rPr>
        <w:t xml:space="preserve">die profiteren van het sekswerk in hun inrichting om zich abnormaal te verrijken en die </w:t>
      </w:r>
      <w:r w:rsidR="00E25D18">
        <w:rPr>
          <w:lang w:val="nl-BE"/>
        </w:rPr>
        <w:t xml:space="preserve">in </w:t>
      </w:r>
      <w:r w:rsidRPr="00240A9B">
        <w:rPr>
          <w:lang w:val="nl-BE"/>
        </w:rPr>
        <w:t xml:space="preserve">een structuur voorzien om </w:t>
      </w:r>
      <w:r w:rsidR="00F8703F" w:rsidRPr="00531914">
        <w:rPr>
          <w:lang w:val="nl-BE"/>
        </w:rPr>
        <w:t>de p</w:t>
      </w:r>
      <w:r w:rsidR="00F8703F">
        <w:rPr>
          <w:lang w:val="nl-BE"/>
        </w:rPr>
        <w:t>rostitutie</w:t>
      </w:r>
      <w:r w:rsidR="00F8703F" w:rsidRPr="00240A9B">
        <w:rPr>
          <w:lang w:val="nl-BE"/>
        </w:rPr>
        <w:t xml:space="preserve"> </w:t>
      </w:r>
      <w:r w:rsidRPr="00240A9B">
        <w:rPr>
          <w:lang w:val="nl-BE"/>
        </w:rPr>
        <w:t>te vergemakkelijken.</w:t>
      </w:r>
    </w:p>
    <w:p w14:paraId="10D1FD22" w14:textId="303E854A" w:rsidR="00240A9B" w:rsidRPr="00240A9B" w:rsidRDefault="00240A9B" w:rsidP="009C15CF">
      <w:pPr>
        <w:jc w:val="both"/>
        <w:rPr>
          <w:lang w:val="nl-BE"/>
        </w:rPr>
      </w:pPr>
      <w:r w:rsidRPr="00240A9B">
        <w:rPr>
          <w:lang w:val="nl-BE"/>
        </w:rPr>
        <w:lastRenderedPageBreak/>
        <w:t xml:space="preserve">De </w:t>
      </w:r>
      <w:r w:rsidR="00E25D18">
        <w:rPr>
          <w:lang w:val="nl-BE"/>
        </w:rPr>
        <w:t>be</w:t>
      </w:r>
      <w:r w:rsidRPr="00240A9B">
        <w:rPr>
          <w:lang w:val="nl-BE"/>
        </w:rPr>
        <w:t>woord</w:t>
      </w:r>
      <w:r w:rsidR="00E25D18">
        <w:rPr>
          <w:lang w:val="nl-BE"/>
        </w:rPr>
        <w:t>ing ‘</w:t>
      </w:r>
      <w:r w:rsidRPr="00240A9B">
        <w:rPr>
          <w:i/>
          <w:iCs/>
          <w:lang w:val="nl-BE"/>
        </w:rPr>
        <w:t>behalve in de gevallen die de wet bepaalt</w:t>
      </w:r>
      <w:r w:rsidR="00E25D18">
        <w:rPr>
          <w:i/>
          <w:iCs/>
          <w:lang w:val="nl-BE"/>
        </w:rPr>
        <w:t>’</w:t>
      </w:r>
      <w:r w:rsidRPr="00240A9B">
        <w:rPr>
          <w:lang w:val="nl-BE"/>
        </w:rPr>
        <w:t xml:space="preserve"> </w:t>
      </w:r>
      <w:r w:rsidR="00F8703F">
        <w:rPr>
          <w:lang w:val="nl-BE"/>
        </w:rPr>
        <w:t xml:space="preserve">verwijst naar </w:t>
      </w:r>
      <w:r w:rsidRPr="00240A9B">
        <w:rPr>
          <w:lang w:val="nl-BE"/>
        </w:rPr>
        <w:t xml:space="preserve">een wet waarin </w:t>
      </w:r>
      <w:r w:rsidR="00E25D18">
        <w:rPr>
          <w:lang w:val="nl-BE"/>
        </w:rPr>
        <w:t xml:space="preserve">de </w:t>
      </w:r>
      <w:r w:rsidRPr="00240A9B">
        <w:rPr>
          <w:lang w:val="nl-BE"/>
        </w:rPr>
        <w:t xml:space="preserve">essentiële voorwaarden voor het organiseren van prostitutie worden vastgelegd. In afwachting van </w:t>
      </w:r>
      <w:r w:rsidR="00E25D18">
        <w:rPr>
          <w:lang w:val="nl-BE"/>
        </w:rPr>
        <w:t>een dergelijke</w:t>
      </w:r>
      <w:r w:rsidRPr="00240A9B">
        <w:rPr>
          <w:lang w:val="nl-BE"/>
        </w:rPr>
        <w:t xml:space="preserve"> wet </w:t>
      </w:r>
      <w:r w:rsidR="00F8703F" w:rsidRPr="00531914">
        <w:rPr>
          <w:lang w:val="nl-BE"/>
        </w:rPr>
        <w:t>blijft de situatie va</w:t>
      </w:r>
      <w:r w:rsidR="00F8703F">
        <w:rPr>
          <w:lang w:val="nl-BE"/>
        </w:rPr>
        <w:t>n pooiers</w:t>
      </w:r>
      <w:r w:rsidR="00F8703F" w:rsidRPr="00240A9B">
        <w:rPr>
          <w:lang w:val="nl-BE"/>
        </w:rPr>
        <w:t xml:space="preserve"> </w:t>
      </w:r>
      <w:r w:rsidRPr="00240A9B">
        <w:rPr>
          <w:lang w:val="nl-BE"/>
        </w:rPr>
        <w:t xml:space="preserve">ongewijzigd. </w:t>
      </w:r>
    </w:p>
    <w:p w14:paraId="40B79998" w14:textId="77777777" w:rsidR="00F8703F" w:rsidRDefault="00F8703F" w:rsidP="009C15CF">
      <w:pPr>
        <w:jc w:val="both"/>
        <w:rPr>
          <w:lang w:val="nl-BE"/>
        </w:rPr>
      </w:pPr>
      <w:r w:rsidRPr="008F1234">
        <w:rPr>
          <w:lang w:val="nl-BE"/>
        </w:rPr>
        <w:t>In het licht van deze t</w:t>
      </w:r>
      <w:r>
        <w:rPr>
          <w:lang w:val="nl-BE"/>
        </w:rPr>
        <w:t>oekomstige wet dienen vier belangrijke vrijheden in acht te worden genomen:</w:t>
      </w:r>
    </w:p>
    <w:p w14:paraId="4DD4CA17" w14:textId="5E8C26E2" w:rsidR="00240A9B" w:rsidRPr="00240A9B" w:rsidRDefault="00F8703F" w:rsidP="009C15CF">
      <w:pPr>
        <w:jc w:val="both"/>
        <w:rPr>
          <w:lang w:val="nl-BE"/>
        </w:rPr>
      </w:pPr>
      <w:r w:rsidRPr="00240A9B">
        <w:rPr>
          <w:lang w:val="nl-BE"/>
        </w:rPr>
        <w:t xml:space="preserve"> </w:t>
      </w:r>
      <w:r w:rsidR="00240A9B" w:rsidRPr="00240A9B">
        <w:rPr>
          <w:lang w:val="nl-BE"/>
        </w:rPr>
        <w:t>“</w:t>
      </w:r>
      <w:r w:rsidR="00240A9B" w:rsidRPr="00240A9B">
        <w:rPr>
          <w:i/>
          <w:iCs/>
          <w:lang w:val="nl-BE"/>
        </w:rPr>
        <w:t>- Eenieder mag een ander als seksuele partner weigeren</w:t>
      </w:r>
    </w:p>
    <w:p w14:paraId="7759A161" w14:textId="77777777" w:rsidR="00240A9B" w:rsidRPr="00240A9B" w:rsidRDefault="00240A9B" w:rsidP="009C15CF">
      <w:pPr>
        <w:jc w:val="both"/>
        <w:rPr>
          <w:lang w:val="nl-BE"/>
        </w:rPr>
      </w:pPr>
      <w:r w:rsidRPr="00240A9B">
        <w:rPr>
          <w:i/>
          <w:iCs/>
          <w:lang w:val="nl-BE"/>
        </w:rPr>
        <w:t>- Eenieder mag bepaalde seksuele handelingen weigeren</w:t>
      </w:r>
    </w:p>
    <w:p w14:paraId="4490FBF3" w14:textId="77777777" w:rsidR="00240A9B" w:rsidRPr="00240A9B" w:rsidRDefault="00240A9B" w:rsidP="009C15CF">
      <w:pPr>
        <w:jc w:val="both"/>
        <w:rPr>
          <w:lang w:val="nl-BE"/>
        </w:rPr>
      </w:pPr>
      <w:r w:rsidRPr="00240A9B">
        <w:rPr>
          <w:i/>
          <w:iCs/>
          <w:lang w:val="nl-BE"/>
        </w:rPr>
        <w:t>- Eenieder mag een seksueel contact onderbreken of afbreken</w:t>
      </w:r>
    </w:p>
    <w:p w14:paraId="091E80E8" w14:textId="77777777" w:rsidR="00240A9B" w:rsidRPr="00240A9B" w:rsidRDefault="00240A9B" w:rsidP="009C15CF">
      <w:pPr>
        <w:jc w:val="both"/>
        <w:rPr>
          <w:lang w:val="nl-BE"/>
        </w:rPr>
      </w:pPr>
      <w:r w:rsidRPr="00240A9B">
        <w:rPr>
          <w:i/>
          <w:iCs/>
          <w:lang w:val="nl-BE"/>
        </w:rPr>
        <w:t>- Eenieder mag voorwaarden stellen aan de eigen seksualiteit”</w:t>
      </w:r>
    </w:p>
    <w:p w14:paraId="7243FFC6" w14:textId="20700700" w:rsidR="00240A9B" w:rsidRPr="00240A9B" w:rsidRDefault="00240A9B" w:rsidP="009C15CF">
      <w:pPr>
        <w:jc w:val="both"/>
        <w:rPr>
          <w:lang w:val="nl-BE"/>
        </w:rPr>
      </w:pPr>
      <w:r w:rsidRPr="00240A9B">
        <w:rPr>
          <w:b/>
          <w:lang w:val="nl-BE"/>
        </w:rPr>
        <w:t xml:space="preserve">Het vroegere artikel 380, §1, 4° inzake de </w:t>
      </w:r>
      <w:r w:rsidRPr="00240A9B">
        <w:rPr>
          <w:rStyle w:val="Emphasis"/>
          <w:b/>
          <w:lang w:val="nl-BE"/>
        </w:rPr>
        <w:t xml:space="preserve">exploitatie </w:t>
      </w:r>
      <w:r w:rsidRPr="00240A9B">
        <w:rPr>
          <w:b/>
          <w:lang w:val="nl-BE"/>
        </w:rPr>
        <w:t xml:space="preserve">van de ontucht of prostitutie van een ander wordt eveneens opgeheven. </w:t>
      </w:r>
      <w:r w:rsidRPr="00240A9B">
        <w:rPr>
          <w:lang w:val="nl-BE"/>
        </w:rPr>
        <w:t xml:space="preserve">Dat dit artikel werd opgeheven, wordt in de memorie van toelichting gerechtvaardigd door het feit dat mensenhandel </w:t>
      </w:r>
      <w:r w:rsidR="00F8703F" w:rsidRPr="008F1234">
        <w:rPr>
          <w:lang w:val="nl-BE"/>
        </w:rPr>
        <w:t>met het oo</w:t>
      </w:r>
      <w:r w:rsidR="00F8703F">
        <w:rPr>
          <w:lang w:val="nl-BE"/>
        </w:rPr>
        <w:t>g op seksuele uitbuiting exploitatie van prostitutie</w:t>
      </w:r>
      <w:r w:rsidRPr="00240A9B">
        <w:rPr>
          <w:lang w:val="nl-BE"/>
        </w:rPr>
        <w:t xml:space="preserve"> impliceert en moet worden onderscheiden van prostitutie</w:t>
      </w:r>
      <w:r w:rsidR="00F8703F">
        <w:rPr>
          <w:lang w:val="nl-BE"/>
        </w:rPr>
        <w:t>,</w:t>
      </w:r>
      <w:r w:rsidRPr="00240A9B">
        <w:rPr>
          <w:lang w:val="nl-BE"/>
        </w:rPr>
        <w:t xml:space="preserve"> waaronder het aanbieden van seksuele handelingen in ruil voor een tegenprestatie zou moeten worden begrepen.</w:t>
      </w:r>
    </w:p>
    <w:p w14:paraId="35B83150" w14:textId="6118D251" w:rsidR="00240A9B" w:rsidRPr="00240A9B" w:rsidRDefault="00240A9B" w:rsidP="009C15CF">
      <w:pPr>
        <w:jc w:val="both"/>
        <w:rPr>
          <w:lang w:val="nl-BE"/>
        </w:rPr>
      </w:pPr>
      <w:r w:rsidRPr="00240A9B">
        <w:rPr>
          <w:lang w:val="nl-BE"/>
        </w:rPr>
        <w:t>Er zal geval per geval moeten worden nagegaan of vroegere misdrijven vallen onder het toepassingsgebied van de in artikel 433</w:t>
      </w:r>
      <w:r w:rsidRPr="00E25D18">
        <w:rPr>
          <w:lang w:val="nl-BE"/>
        </w:rPr>
        <w:t>quater</w:t>
      </w:r>
      <w:r w:rsidRPr="00240A9B">
        <w:rPr>
          <w:lang w:val="nl-BE"/>
        </w:rPr>
        <w:t>/1 bepaalde nieuwe definities en/of onder de in artikel 433</w:t>
      </w:r>
      <w:r w:rsidRPr="00E25D18">
        <w:rPr>
          <w:lang w:val="nl-BE"/>
        </w:rPr>
        <w:t>quinquies</w:t>
      </w:r>
      <w:r w:rsidRPr="00240A9B">
        <w:rPr>
          <w:lang w:val="nl-BE"/>
        </w:rPr>
        <w:t xml:space="preserve"> </w:t>
      </w:r>
      <w:r w:rsidR="007A1B2D">
        <w:rPr>
          <w:lang w:val="nl-BE"/>
        </w:rPr>
        <w:t>vermelde</w:t>
      </w:r>
      <w:r w:rsidRPr="00240A9B">
        <w:rPr>
          <w:lang w:val="nl-BE"/>
        </w:rPr>
        <w:t xml:space="preserve"> misdrijven.</w:t>
      </w:r>
    </w:p>
    <w:p w14:paraId="76489091" w14:textId="6408E990" w:rsidR="00240A9B" w:rsidRPr="00240A9B" w:rsidRDefault="00240A9B" w:rsidP="009C15CF">
      <w:pPr>
        <w:jc w:val="both"/>
        <w:rPr>
          <w:lang w:val="nl-BE"/>
        </w:rPr>
      </w:pPr>
      <w:r w:rsidRPr="00240A9B">
        <w:rPr>
          <w:b/>
          <w:bCs/>
          <w:lang w:val="nl-BE"/>
        </w:rPr>
        <w:t>De poging om dit misdrijf te plegen</w:t>
      </w:r>
      <w:r w:rsidRPr="00240A9B">
        <w:rPr>
          <w:lang w:val="nl-BE"/>
        </w:rPr>
        <w:t xml:space="preserve"> werd eveneens opgenomen in het nieuwe artikel 433</w:t>
      </w:r>
      <w:r w:rsidRPr="00E25D18">
        <w:rPr>
          <w:lang w:val="nl-BE"/>
        </w:rPr>
        <w:t>quate</w:t>
      </w:r>
      <w:r w:rsidRPr="00240A9B">
        <w:rPr>
          <w:i/>
          <w:iCs/>
          <w:lang w:val="nl-BE"/>
        </w:rPr>
        <w:t>r</w:t>
      </w:r>
      <w:r w:rsidRPr="00240A9B">
        <w:rPr>
          <w:lang w:val="nl-BE"/>
        </w:rPr>
        <w:t>/1 en vervangt dus het vroegere artikel 380, §2. In de memorie van toelichting wordt benadrukt dat het hierdoor mogelijk wordt om uitbuiting te voorkomen</w:t>
      </w:r>
      <w:r>
        <w:rPr>
          <w:rStyle w:val="FootnoteReference"/>
          <w:lang w:val="nl-BE"/>
        </w:rPr>
        <w:footnoteReference w:customMarkFollows="1" w:id="76"/>
        <w:t>76</w:t>
      </w:r>
      <w:r>
        <w:rPr>
          <w:lang w:val="nl-BE"/>
        </w:rPr>
        <w:t>.</w:t>
      </w:r>
    </w:p>
    <w:p w14:paraId="58DF07F4" w14:textId="0389F2F1" w:rsidR="00240A9B" w:rsidRPr="00240A9B" w:rsidRDefault="00240A9B" w:rsidP="009C15CF">
      <w:pPr>
        <w:spacing w:after="0" w:line="240" w:lineRule="auto"/>
        <w:jc w:val="both"/>
        <w:rPr>
          <w:rFonts w:ascii="Times New Roman" w:hAnsi="Times New Roman" w:cs="Times New Roman"/>
          <w:sz w:val="24"/>
          <w:szCs w:val="24"/>
          <w:lang w:val="nl-BE" w:eastAsia="en-GB"/>
        </w:rPr>
      </w:pPr>
      <w:r w:rsidRPr="00240A9B">
        <w:rPr>
          <w:lang w:val="nl-BE"/>
        </w:rPr>
        <w:t>Ten opzichte van de vroegere tekst blijven de gevangenisstraffen ongewijzigd. Pooierschap wordt meer bepaald bestraft met een gevangenisstraf van één tot vijf jaar en de poging tot het plegen van dit misdrijf wordt bestraft met een gevangenisstraf van zes maanden tot drie jaar. Daarentegen werd de boete wel aangepast. Overeenkomstig het nieuwe artikel 433</w:t>
      </w:r>
      <w:r w:rsidRPr="00E25D18">
        <w:rPr>
          <w:lang w:val="nl-BE"/>
        </w:rPr>
        <w:t>quater</w:t>
      </w:r>
      <w:r w:rsidRPr="00240A9B">
        <w:rPr>
          <w:lang w:val="nl-BE"/>
        </w:rPr>
        <w:t xml:space="preserve">/1 moet de </w:t>
      </w:r>
      <w:r w:rsidR="007A1B2D">
        <w:rPr>
          <w:lang w:val="nl-BE"/>
        </w:rPr>
        <w:t xml:space="preserve">boete </w:t>
      </w:r>
      <w:r w:rsidR="00E25D18">
        <w:rPr>
          <w:lang w:val="nl-BE"/>
        </w:rPr>
        <w:t>voor</w:t>
      </w:r>
      <w:r w:rsidRPr="00240A9B">
        <w:rPr>
          <w:lang w:val="nl-BE"/>
        </w:rPr>
        <w:t xml:space="preserve"> de in het tweede en derde lid van dit artikel vermelde misdrijven zo</w:t>
      </w:r>
      <w:r w:rsidR="00E25D18">
        <w:rPr>
          <w:lang w:val="nl-BE"/>
        </w:rPr>
        <w:t xml:space="preserve"> </w:t>
      </w:r>
      <w:r w:rsidRPr="00240A9B">
        <w:rPr>
          <w:lang w:val="nl-BE"/>
        </w:rPr>
        <w:t xml:space="preserve">veel keer worden toegepast als er slachtoffers zijn, terwijl op basis van het vroegere artikel 380, §7 van het Strafwetboek </w:t>
      </w:r>
      <w:r w:rsidR="00E25D18">
        <w:rPr>
          <w:lang w:val="nl-BE"/>
        </w:rPr>
        <w:t>de boete voor alle</w:t>
      </w:r>
      <w:r w:rsidRPr="00240A9B">
        <w:rPr>
          <w:lang w:val="nl-BE"/>
        </w:rPr>
        <w:t xml:space="preserve"> </w:t>
      </w:r>
      <w:r w:rsidR="002C433B">
        <w:rPr>
          <w:lang w:val="nl-BE"/>
        </w:rPr>
        <w:t xml:space="preserve">in </w:t>
      </w:r>
      <w:r w:rsidRPr="00240A9B">
        <w:rPr>
          <w:lang w:val="nl-BE"/>
        </w:rPr>
        <w:t>artikel 380 vermelde misdrijven zo veel keer moe</w:t>
      </w:r>
      <w:r w:rsidR="007A1B2D">
        <w:rPr>
          <w:lang w:val="nl-BE"/>
        </w:rPr>
        <w:t>s</w:t>
      </w:r>
      <w:r w:rsidRPr="00240A9B">
        <w:rPr>
          <w:lang w:val="nl-BE"/>
        </w:rPr>
        <w:t xml:space="preserve">t worden toegepast als er slachtoffers zijn. In de nieuwe wet </w:t>
      </w:r>
      <w:r w:rsidR="00E25D18">
        <w:rPr>
          <w:lang w:val="nl-BE"/>
        </w:rPr>
        <w:t>wordt</w:t>
      </w:r>
      <w:r w:rsidR="002C433B">
        <w:rPr>
          <w:lang w:val="nl-BE"/>
        </w:rPr>
        <w:t xml:space="preserve"> </w:t>
      </w:r>
      <w:r w:rsidRPr="00240A9B">
        <w:rPr>
          <w:lang w:val="nl-BE"/>
        </w:rPr>
        <w:t>dus niet bepaald dat de boete moet worden vermenigvuldigd met het aantal slachtoffers ingeval een persoon de prostitutie van een ander organiseert met als doel om een voordeel te realiseren, wat paradoxaal kan lijken.</w:t>
      </w:r>
      <w:r w:rsidRPr="00240A9B">
        <w:rPr>
          <w:rFonts w:ascii="Times New Roman" w:hAnsi="Times New Roman" w:cs="Times New Roman"/>
          <w:sz w:val="24"/>
          <w:szCs w:val="24"/>
          <w:lang w:val="nl-BE" w:eastAsia="en-GB"/>
        </w:rPr>
        <w:t xml:space="preserve"> </w:t>
      </w:r>
    </w:p>
    <w:p w14:paraId="1BEDB3EC" w14:textId="03E32616" w:rsidR="00344402" w:rsidRDefault="00344402" w:rsidP="009C15CF">
      <w:pPr>
        <w:jc w:val="both"/>
        <w:rPr>
          <w:lang w:val="nl-BE"/>
        </w:rPr>
      </w:pPr>
    </w:p>
    <w:p w14:paraId="3C38D230" w14:textId="77777777" w:rsidR="00D703D6" w:rsidRPr="00240A9B" w:rsidRDefault="00D703D6" w:rsidP="009C15CF">
      <w:pPr>
        <w:jc w:val="both"/>
        <w:rPr>
          <w:lang w:val="nl-BE"/>
        </w:rPr>
      </w:pPr>
    </w:p>
    <w:p w14:paraId="79F27BD5" w14:textId="442A71A6" w:rsidR="00DD4815" w:rsidRPr="0069784D" w:rsidRDefault="00DD4815" w:rsidP="009C15CF">
      <w:pPr>
        <w:pStyle w:val="Heading3"/>
        <w:jc w:val="both"/>
        <w:rPr>
          <w:rFonts w:asciiTheme="minorHAnsi" w:hAnsiTheme="minorHAnsi" w:cstheme="minorHAnsi"/>
          <w:color w:val="auto"/>
          <w:sz w:val="28"/>
          <w:szCs w:val="28"/>
          <w:lang w:val="nl-BE"/>
        </w:rPr>
      </w:pPr>
      <w:bookmarkStart w:id="46" w:name="_Toc104923495"/>
      <w:r w:rsidRPr="0069784D">
        <w:rPr>
          <w:rFonts w:asciiTheme="minorHAnsi" w:hAnsiTheme="minorHAnsi"/>
          <w:color w:val="auto"/>
          <w:sz w:val="28"/>
          <w:lang w:val="nl-BE"/>
        </w:rPr>
        <w:t xml:space="preserve">Artikel 433quater/2 </w:t>
      </w:r>
      <w:r w:rsidR="00FA2298" w:rsidRPr="0069784D">
        <w:rPr>
          <w:rFonts w:asciiTheme="minorHAnsi" w:hAnsiTheme="minorHAnsi"/>
          <w:color w:val="auto"/>
          <w:sz w:val="28"/>
          <w:lang w:val="nl-BE"/>
        </w:rPr>
        <w:t xml:space="preserve">- </w:t>
      </w:r>
      <w:r w:rsidRPr="0069784D">
        <w:rPr>
          <w:rFonts w:asciiTheme="minorHAnsi" w:hAnsiTheme="minorHAnsi"/>
          <w:color w:val="auto"/>
          <w:sz w:val="28"/>
          <w:lang w:val="nl-BE"/>
        </w:rPr>
        <w:t>Reclame maken voor prostitutie</w:t>
      </w:r>
      <w:bookmarkEnd w:id="46"/>
    </w:p>
    <w:p w14:paraId="5228D443" w14:textId="77777777" w:rsidR="00FA2298" w:rsidRPr="0069784D" w:rsidRDefault="00FA2298" w:rsidP="009C15CF">
      <w:pPr>
        <w:jc w:val="both"/>
        <w:rPr>
          <w:b/>
          <w:lang w:val="nl-BE"/>
        </w:rPr>
      </w:pPr>
    </w:p>
    <w:p w14:paraId="6685A3DF" w14:textId="1E8209F4" w:rsidR="00DD4815" w:rsidRPr="0069784D" w:rsidRDefault="003414D1" w:rsidP="009C15CF">
      <w:pPr>
        <w:jc w:val="both"/>
        <w:rPr>
          <w:b/>
          <w:lang w:val="nl-BE"/>
        </w:rPr>
      </w:pPr>
      <w:r w:rsidRPr="0069784D">
        <w:rPr>
          <w:b/>
          <w:lang w:val="nl-BE"/>
        </w:rPr>
        <w:t>Dit a</w:t>
      </w:r>
      <w:r w:rsidR="00DD4815" w:rsidRPr="0069784D">
        <w:rPr>
          <w:b/>
          <w:lang w:val="nl-BE"/>
        </w:rPr>
        <w:t>rtikel vervangt het vroegere artikel 380ter, §2 en §3, lid 1.</w:t>
      </w:r>
    </w:p>
    <w:p w14:paraId="2FEC87D7" w14:textId="1320135B" w:rsidR="00DD4815" w:rsidRPr="0069784D" w:rsidRDefault="00DD4815" w:rsidP="009C15CF">
      <w:pPr>
        <w:jc w:val="both"/>
        <w:rPr>
          <w:lang w:val="nl-BE"/>
        </w:rPr>
      </w:pPr>
      <w:r w:rsidRPr="0069784D">
        <w:rPr>
          <w:b/>
          <w:bCs/>
          <w:lang w:val="nl-BE"/>
        </w:rPr>
        <w:lastRenderedPageBreak/>
        <w:t>In het nieuwe artikel 433quater/2, §1 wordt de volgende drie</w:t>
      </w:r>
      <w:r w:rsidR="003414D1" w:rsidRPr="0069784D">
        <w:rPr>
          <w:b/>
          <w:bCs/>
          <w:lang w:val="nl-BE"/>
        </w:rPr>
        <w:t>ledige</w:t>
      </w:r>
      <w:r w:rsidRPr="0069784D">
        <w:rPr>
          <w:b/>
          <w:bCs/>
          <w:lang w:val="nl-BE"/>
        </w:rPr>
        <w:t xml:space="preserve"> definitie gegeven van reclame maken voor prostitutie:</w:t>
      </w:r>
    </w:p>
    <w:p w14:paraId="2024172D" w14:textId="509353A3" w:rsidR="00DD4815" w:rsidRPr="0069784D" w:rsidRDefault="00DD4815" w:rsidP="009C15CF">
      <w:pPr>
        <w:jc w:val="both"/>
        <w:rPr>
          <w:i/>
          <w:iCs/>
          <w:lang w:val="nl-BE"/>
        </w:rPr>
      </w:pPr>
      <w:r w:rsidRPr="0069784D">
        <w:rPr>
          <w:i/>
          <w:lang w:val="nl-BE"/>
        </w:rPr>
        <w:t>“</w:t>
      </w:r>
      <w:r w:rsidRPr="0069784D">
        <w:rPr>
          <w:i/>
          <w:iCs/>
          <w:lang w:val="nl-BE"/>
        </w:rPr>
        <w:t>Reclame maken voor prostitutie is:</w:t>
      </w:r>
    </w:p>
    <w:p w14:paraId="2399EB8C" w14:textId="3EFC7C4A" w:rsidR="00DD4815" w:rsidRPr="0069784D" w:rsidRDefault="00DD4815" w:rsidP="009C15CF">
      <w:pPr>
        <w:pStyle w:val="ListParagraph"/>
        <w:numPr>
          <w:ilvl w:val="0"/>
          <w:numId w:val="9"/>
        </w:numPr>
        <w:jc w:val="both"/>
        <w:rPr>
          <w:i/>
          <w:iCs/>
          <w:lang w:val="nl-BE"/>
        </w:rPr>
      </w:pPr>
      <w:r w:rsidRPr="0069784D">
        <w:rPr>
          <w:i/>
          <w:lang w:val="nl-BE"/>
        </w:rPr>
        <w:t>het met welk middel ook, op enigerlei wijze, direct of indirect, reclame maken, uitgeven, verdelen of verspreiden voor een aanbod van diensten van seksuele aard door een meerderjarige, zelfs indien het aanbod wordt verhuld onder bedekte bewoordingen;</w:t>
      </w:r>
    </w:p>
    <w:p w14:paraId="62EE174C" w14:textId="77777777" w:rsidR="00DD4815" w:rsidRPr="0069784D" w:rsidRDefault="00DD4815" w:rsidP="009C15CF">
      <w:pPr>
        <w:pStyle w:val="ListParagraph"/>
        <w:numPr>
          <w:ilvl w:val="0"/>
          <w:numId w:val="9"/>
        </w:numPr>
        <w:jc w:val="both"/>
        <w:rPr>
          <w:i/>
          <w:iCs/>
          <w:lang w:val="nl-BE"/>
        </w:rPr>
      </w:pPr>
      <w:r w:rsidRPr="0069784D">
        <w:rPr>
          <w:i/>
          <w:lang w:val="nl-BE"/>
        </w:rPr>
        <w:t>het door enig reclamemiddel, zowel expliciet als impliciet, kenbaar maken dat een meerderjarige zich laat prostitueren;</w:t>
      </w:r>
    </w:p>
    <w:p w14:paraId="6300BCB6" w14:textId="03230750" w:rsidR="00DD4815" w:rsidRPr="0069784D" w:rsidRDefault="00DD4815" w:rsidP="009C15CF">
      <w:pPr>
        <w:pStyle w:val="ListParagraph"/>
        <w:numPr>
          <w:ilvl w:val="0"/>
          <w:numId w:val="9"/>
        </w:numPr>
        <w:jc w:val="both"/>
        <w:rPr>
          <w:i/>
          <w:iCs/>
          <w:lang w:val="nl-BE"/>
        </w:rPr>
      </w:pPr>
      <w:r w:rsidRPr="0069784D">
        <w:rPr>
          <w:i/>
          <w:lang w:val="nl-BE"/>
        </w:rPr>
        <w:t xml:space="preserve">het door enig reclamemiddel, zowel expliciet als impliciet, vergemakkelijken van de prostitutie van een meerderjarige.” </w:t>
      </w:r>
      <w:r w:rsidRPr="0069784D">
        <w:rPr>
          <w:lang w:val="nl-BE"/>
        </w:rPr>
        <w:t xml:space="preserve">In de memorie van toelichting wordt benadrukt dat het op basis hiervan mogelijk </w:t>
      </w:r>
      <w:r w:rsidR="00FA076F" w:rsidRPr="0069784D">
        <w:rPr>
          <w:lang w:val="nl-BE"/>
        </w:rPr>
        <w:t>wordt</w:t>
      </w:r>
      <w:r w:rsidRPr="0069784D">
        <w:rPr>
          <w:lang w:val="nl-BE"/>
        </w:rPr>
        <w:t xml:space="preserve"> </w:t>
      </w:r>
      <w:r w:rsidR="003414D1" w:rsidRPr="0069784D">
        <w:rPr>
          <w:lang w:val="nl-BE"/>
        </w:rPr>
        <w:t>om</w:t>
      </w:r>
      <w:r w:rsidRPr="0069784D">
        <w:rPr>
          <w:lang w:val="nl-BE"/>
        </w:rPr>
        <w:t xml:space="preserve"> uitbuiting te voorkomen</w:t>
      </w:r>
      <w:r w:rsidRPr="0069784D">
        <w:rPr>
          <w:rStyle w:val="FootnoteReference"/>
          <w:lang w:val="nl-BE"/>
        </w:rPr>
        <w:footnoteReference w:customMarkFollows="1" w:id="77"/>
        <w:t>77</w:t>
      </w:r>
      <w:r w:rsidRPr="0069784D">
        <w:rPr>
          <w:lang w:val="nl-BE"/>
        </w:rPr>
        <w:t xml:space="preserve">. </w:t>
      </w:r>
    </w:p>
    <w:p w14:paraId="2E5486DB" w14:textId="072CFD9E" w:rsidR="00DD4815" w:rsidRPr="0069784D" w:rsidRDefault="00FA076F" w:rsidP="009C15CF">
      <w:pPr>
        <w:jc w:val="both"/>
        <w:rPr>
          <w:lang w:val="nl-BE"/>
        </w:rPr>
      </w:pPr>
      <w:r w:rsidRPr="0069784D">
        <w:rPr>
          <w:lang w:val="nl-BE"/>
        </w:rPr>
        <w:t>H</w:t>
      </w:r>
      <w:r w:rsidR="00DD4815" w:rsidRPr="0069784D">
        <w:rPr>
          <w:lang w:val="nl-BE"/>
        </w:rPr>
        <w:t xml:space="preserve">oewel het houden van een huis van prostitutie in de toekomst niet </w:t>
      </w:r>
      <w:r w:rsidR="003414D1" w:rsidRPr="0069784D">
        <w:rPr>
          <w:lang w:val="nl-BE"/>
        </w:rPr>
        <w:t>langer</w:t>
      </w:r>
      <w:r w:rsidR="00DD4815" w:rsidRPr="0069784D">
        <w:rPr>
          <w:lang w:val="nl-BE"/>
        </w:rPr>
        <w:t xml:space="preserve"> strafbaar is, </w:t>
      </w:r>
      <w:r w:rsidRPr="0069784D">
        <w:rPr>
          <w:lang w:val="nl-BE"/>
        </w:rPr>
        <w:t xml:space="preserve">kan geconcludeerd worden dat </w:t>
      </w:r>
      <w:r w:rsidR="00DD4815" w:rsidRPr="0069784D">
        <w:rPr>
          <w:lang w:val="nl-BE"/>
        </w:rPr>
        <w:t>het wel verboden is om er reclame voor te maken en om aanwervingsadvertenties te publiceren. Ook is het verboden om reclame te maken voor het verhuren van kamers omdat er in dit geval sprake is van het vergemakkelijken van prostitutie.</w:t>
      </w:r>
    </w:p>
    <w:p w14:paraId="035AAFFD" w14:textId="4FF5F395" w:rsidR="00DD4815" w:rsidRPr="0069784D" w:rsidRDefault="00DD4815" w:rsidP="009C15CF">
      <w:pPr>
        <w:jc w:val="both"/>
        <w:rPr>
          <w:lang w:val="nl-BE"/>
        </w:rPr>
      </w:pPr>
      <w:r w:rsidRPr="0069784D">
        <w:rPr>
          <w:lang w:val="nl-BE"/>
        </w:rPr>
        <w:t>In de memorie van toelichting w</w:t>
      </w:r>
      <w:r w:rsidR="003414D1" w:rsidRPr="0069784D">
        <w:rPr>
          <w:lang w:val="nl-BE"/>
        </w:rPr>
        <w:t>ordt</w:t>
      </w:r>
      <w:r w:rsidRPr="0069784D">
        <w:rPr>
          <w:lang w:val="nl-BE"/>
        </w:rPr>
        <w:t xml:space="preserve"> bepaald dat met reclame </w:t>
      </w:r>
      <w:r w:rsidR="003414D1" w:rsidRPr="0069784D">
        <w:rPr>
          <w:lang w:val="nl-BE"/>
        </w:rPr>
        <w:t>‘</w:t>
      </w:r>
      <w:r w:rsidRPr="0069784D">
        <w:rPr>
          <w:lang w:val="nl-BE"/>
        </w:rPr>
        <w:t>elk woord, elke afbeelding of elke andere voorstelling met betrekking tot commerciële seksuele diensten hetzij in het algemeen, hetzij in het bijzonder wordt bedoeld</w:t>
      </w:r>
      <w:r w:rsidR="003414D1" w:rsidRPr="0069784D">
        <w:rPr>
          <w:lang w:val="nl-BE"/>
        </w:rPr>
        <w:t>’</w:t>
      </w:r>
      <w:r w:rsidRPr="0069784D">
        <w:rPr>
          <w:rStyle w:val="FootnoteReference"/>
          <w:lang w:val="nl-BE"/>
        </w:rPr>
        <w:footnoteReference w:customMarkFollows="1" w:id="78"/>
        <w:t>78</w:t>
      </w:r>
      <w:r w:rsidR="003414D1" w:rsidRPr="0069784D">
        <w:rPr>
          <w:lang w:val="nl-BE"/>
        </w:rPr>
        <w:t>.</w:t>
      </w:r>
    </w:p>
    <w:p w14:paraId="298E805C" w14:textId="77777777" w:rsidR="003414D1" w:rsidRPr="0069784D" w:rsidRDefault="003414D1" w:rsidP="009C15CF">
      <w:pPr>
        <w:jc w:val="both"/>
        <w:rPr>
          <w:i/>
          <w:iCs/>
          <w:lang w:val="nl-BE"/>
        </w:rPr>
      </w:pPr>
    </w:p>
    <w:p w14:paraId="491E382E" w14:textId="72F2EBCF" w:rsidR="00DD4815" w:rsidRPr="0069784D" w:rsidRDefault="00DD4815" w:rsidP="009C15CF">
      <w:pPr>
        <w:jc w:val="both"/>
        <w:rPr>
          <w:b/>
          <w:lang w:val="nl-BE"/>
        </w:rPr>
      </w:pPr>
      <w:r w:rsidRPr="0069784D">
        <w:rPr>
          <w:b/>
          <w:bCs/>
          <w:lang w:val="nl-BE"/>
        </w:rPr>
        <w:t>In het nieuwe artikel 433quater/2, §2 w</w:t>
      </w:r>
      <w:r w:rsidR="003414D1" w:rsidRPr="0069784D">
        <w:rPr>
          <w:b/>
          <w:bCs/>
          <w:lang w:val="nl-BE"/>
        </w:rPr>
        <w:t>ordt</w:t>
      </w:r>
      <w:r w:rsidRPr="0069784D">
        <w:rPr>
          <w:b/>
          <w:bCs/>
          <w:lang w:val="nl-BE"/>
        </w:rPr>
        <w:t xml:space="preserve"> bepaald dat reclame maken voor prostitutie van een meerderjarige verboden is, behalve in de volgende gevallen:</w:t>
      </w:r>
    </w:p>
    <w:p w14:paraId="275E0A30" w14:textId="77777777" w:rsidR="00DD4815" w:rsidRPr="0069784D" w:rsidRDefault="00DD4815" w:rsidP="009C15CF">
      <w:pPr>
        <w:jc w:val="both"/>
        <w:rPr>
          <w:i/>
          <w:iCs/>
          <w:lang w:val="nl-BE"/>
        </w:rPr>
      </w:pPr>
      <w:r w:rsidRPr="0069784D">
        <w:rPr>
          <w:i/>
          <w:lang w:val="nl-BE"/>
        </w:rPr>
        <w:t>“Het verbod is niet van toepassing:</w:t>
      </w:r>
    </w:p>
    <w:p w14:paraId="5DB9A63B" w14:textId="77777777" w:rsidR="00DD4815" w:rsidRPr="0069784D" w:rsidRDefault="00DD4815" w:rsidP="009C15CF">
      <w:pPr>
        <w:pStyle w:val="ListParagraph"/>
        <w:numPr>
          <w:ilvl w:val="0"/>
          <w:numId w:val="9"/>
        </w:numPr>
        <w:jc w:val="both"/>
        <w:rPr>
          <w:i/>
          <w:iCs/>
          <w:lang w:val="nl-BE"/>
        </w:rPr>
      </w:pPr>
      <w:r w:rsidRPr="0069784D">
        <w:rPr>
          <w:i/>
          <w:lang w:val="nl-BE"/>
        </w:rPr>
        <w:t>ten aanzien van een meerderjarige die reclame maakt voor eigen seksuele diensten achter een raam in een ruimte die specifiek voor prostitutie is bestemd;</w:t>
      </w:r>
    </w:p>
    <w:p w14:paraId="362B1A9F" w14:textId="77777777" w:rsidR="00DD4815" w:rsidRPr="0069784D" w:rsidRDefault="00DD4815" w:rsidP="009C15CF">
      <w:pPr>
        <w:pStyle w:val="ListParagraph"/>
        <w:numPr>
          <w:ilvl w:val="0"/>
          <w:numId w:val="9"/>
        </w:numPr>
        <w:jc w:val="both"/>
        <w:rPr>
          <w:i/>
          <w:iCs/>
          <w:lang w:val="nl-BE"/>
        </w:rPr>
      </w:pPr>
      <w:r w:rsidRPr="0069784D">
        <w:rPr>
          <w:i/>
          <w:lang w:val="nl-BE"/>
        </w:rPr>
        <w:t>ten aanzien van een meerderjarige die reclame plaatst voor eigen seksuele diensten op een internetplatform of enig ander medium of een onderdeel ervan, die specifiek voor dit doel zijn bestemd;</w:t>
      </w:r>
    </w:p>
    <w:p w14:paraId="2EA922E6" w14:textId="77777777" w:rsidR="00DD4815" w:rsidRPr="0069784D" w:rsidRDefault="00DD4815" w:rsidP="009C15CF">
      <w:pPr>
        <w:pStyle w:val="ListParagraph"/>
        <w:numPr>
          <w:ilvl w:val="0"/>
          <w:numId w:val="9"/>
        </w:numPr>
        <w:jc w:val="both"/>
        <w:rPr>
          <w:i/>
          <w:iCs/>
          <w:lang w:val="nl-BE"/>
        </w:rPr>
      </w:pPr>
      <w:r w:rsidRPr="0069784D">
        <w:rPr>
          <w:i/>
          <w:lang w:val="nl-BE"/>
        </w:rPr>
        <w:t>ten aanzien van de aanbieder van een internetplatform of enig ander medium of een onderdeel ervan, die specifiek voor dit doel zijn bestemd, die reclame voor diensten van seksuele aard of voor een plaats gewijd aan het aanbieden van diensten van seksuele aard door meerderjarigen publiceert, voor zover hij maatregelen neemt ter bescherming van de sekswerker en ter voorkoming van misbruik van prostitutie en mensenhandel, door mogelijke gevallen van misbruik en uitbuiting onmiddellijk aan de politiediensten of gerechtelijke overheden te melden en door zich te houden aan de nadere regels die door de Koning zijn vastgesteld.</w:t>
      </w:r>
    </w:p>
    <w:p w14:paraId="29ACA2EE" w14:textId="5985123B" w:rsidR="00DD4815" w:rsidRPr="0069784D" w:rsidRDefault="00DD4815" w:rsidP="009C15CF">
      <w:pPr>
        <w:jc w:val="both"/>
        <w:rPr>
          <w:i/>
          <w:iCs/>
          <w:lang w:val="nl-BE"/>
        </w:rPr>
      </w:pPr>
      <w:r w:rsidRPr="0069784D">
        <w:rPr>
          <w:i/>
          <w:lang w:val="nl-BE"/>
        </w:rPr>
        <w:t>[...] Dit misdrijf wordt bestraft met gevangenisstraf van een maand tot een jaar en met geldboete van honderd euro tot duizend euro.”</w:t>
      </w:r>
    </w:p>
    <w:p w14:paraId="5EF341FA" w14:textId="1394FC58" w:rsidR="00DD4815" w:rsidRPr="0069784D" w:rsidRDefault="00DD4815" w:rsidP="009C15CF">
      <w:pPr>
        <w:jc w:val="both"/>
        <w:rPr>
          <w:lang w:val="nl-BE"/>
        </w:rPr>
      </w:pPr>
      <w:r w:rsidRPr="0069784D">
        <w:rPr>
          <w:lang w:val="nl-BE"/>
        </w:rPr>
        <w:lastRenderedPageBreak/>
        <w:t xml:space="preserve">In dit opzicht </w:t>
      </w:r>
      <w:r w:rsidR="003414D1" w:rsidRPr="0069784D">
        <w:rPr>
          <w:lang w:val="nl-BE"/>
        </w:rPr>
        <w:t xml:space="preserve">bestaat er </w:t>
      </w:r>
      <w:r w:rsidRPr="0069784D">
        <w:rPr>
          <w:lang w:val="nl-BE"/>
        </w:rPr>
        <w:t>een verschil met het vroegere Strafwetboek</w:t>
      </w:r>
      <w:r w:rsidR="003414D1" w:rsidRPr="0069784D">
        <w:rPr>
          <w:lang w:val="nl-BE"/>
        </w:rPr>
        <w:t>, dat</w:t>
      </w:r>
      <w:r w:rsidRPr="0069784D">
        <w:rPr>
          <w:lang w:val="nl-BE"/>
        </w:rPr>
        <w:t xml:space="preserve"> overeenkomstig het vroegere artikel 380ter, §2 en 3, lid 1 elke vorm van reclame voor prostitutie </w:t>
      </w:r>
      <w:r w:rsidR="003414D1" w:rsidRPr="0069784D">
        <w:rPr>
          <w:lang w:val="nl-BE"/>
        </w:rPr>
        <w:t>strafbaar stelde</w:t>
      </w:r>
      <w:r w:rsidRPr="0069784D">
        <w:rPr>
          <w:lang w:val="nl-BE"/>
        </w:rPr>
        <w:t xml:space="preserve">. </w:t>
      </w:r>
    </w:p>
    <w:p w14:paraId="3536F288" w14:textId="77777777" w:rsidR="00DD4815" w:rsidRPr="0069784D" w:rsidRDefault="00DD4815" w:rsidP="009C15CF">
      <w:pPr>
        <w:jc w:val="both"/>
        <w:rPr>
          <w:lang w:val="nl-BE"/>
        </w:rPr>
      </w:pPr>
      <w:r w:rsidRPr="0069784D">
        <w:rPr>
          <w:lang w:val="nl-BE"/>
        </w:rPr>
        <w:t>De drie hierboven vermelde gevallen vormen dus opheffingsbepalingen.</w:t>
      </w:r>
    </w:p>
    <w:p w14:paraId="180315AA" w14:textId="23B479C3" w:rsidR="00DD4815" w:rsidRPr="0069784D" w:rsidRDefault="00DD4815" w:rsidP="009C15CF">
      <w:pPr>
        <w:jc w:val="both"/>
        <w:rPr>
          <w:lang w:val="nl-BE"/>
        </w:rPr>
      </w:pPr>
      <w:r w:rsidRPr="0069784D">
        <w:rPr>
          <w:lang w:val="nl-BE"/>
        </w:rPr>
        <w:t>Op grond van de nieuwe wet mag een meerderjarige reclame maken voor eigen seksuele diensten voor zover hij dit doet achter een raam in een ruimte die specifiek voor prostitutie is bestemd</w:t>
      </w:r>
      <w:r w:rsidR="003414D1" w:rsidRPr="0069784D">
        <w:rPr>
          <w:lang w:val="nl-BE"/>
        </w:rPr>
        <w:t>,</w:t>
      </w:r>
      <w:r w:rsidRPr="0069784D">
        <w:rPr>
          <w:lang w:val="nl-BE"/>
        </w:rPr>
        <w:t xml:space="preserve"> </w:t>
      </w:r>
      <w:r w:rsidR="003414D1" w:rsidRPr="0069784D">
        <w:rPr>
          <w:lang w:val="nl-BE"/>
        </w:rPr>
        <w:t>maar</w:t>
      </w:r>
      <w:r w:rsidRPr="0069784D">
        <w:rPr>
          <w:lang w:val="nl-BE"/>
        </w:rPr>
        <w:t xml:space="preserve"> mag hij voor deze diensten blijkbaar geen reclame maken op straat. In dit opzicht beaam</w:t>
      </w:r>
      <w:r w:rsidR="00FA076F" w:rsidRPr="0069784D">
        <w:rPr>
          <w:lang w:val="nl-BE"/>
        </w:rPr>
        <w:t>de</w:t>
      </w:r>
      <w:r w:rsidRPr="0069784D">
        <w:rPr>
          <w:lang w:val="nl-BE"/>
        </w:rPr>
        <w:t xml:space="preserve"> de minister </w:t>
      </w:r>
      <w:r w:rsidR="00FA076F" w:rsidRPr="0069784D">
        <w:rPr>
          <w:lang w:val="nl-BE"/>
        </w:rPr>
        <w:t xml:space="preserve">van Justitie </w:t>
      </w:r>
      <w:r w:rsidRPr="0069784D">
        <w:rPr>
          <w:lang w:val="nl-BE"/>
        </w:rPr>
        <w:t>(als reactie op een vraag van een volksvertegenwoordiger waarbij erop werd gewezen dat een prostituee die tippelt zichzelf niet mag aanprijzen</w:t>
      </w:r>
      <w:r w:rsidR="003414D1" w:rsidRPr="0069784D">
        <w:rPr>
          <w:lang w:val="nl-BE"/>
        </w:rPr>
        <w:t>,</w:t>
      </w:r>
      <w:r w:rsidRPr="0069784D">
        <w:rPr>
          <w:lang w:val="nl-BE"/>
        </w:rPr>
        <w:t xml:space="preserve"> in tegenstelling tot een prostituee die achter een raam werkt) dat het niet evident zal zijn om uit te maken wat al dan niet mag</w:t>
      </w:r>
      <w:r w:rsidRPr="0069784D">
        <w:rPr>
          <w:rStyle w:val="FootnoteReference"/>
          <w:lang w:val="nl-BE"/>
        </w:rPr>
        <w:footnoteReference w:customMarkFollows="1" w:id="79"/>
        <w:t>79</w:t>
      </w:r>
      <w:r w:rsidR="003414D1" w:rsidRPr="0069784D">
        <w:rPr>
          <w:lang w:val="nl-BE"/>
        </w:rPr>
        <w:t>.</w:t>
      </w:r>
      <w:r w:rsidRPr="0069784D">
        <w:rPr>
          <w:lang w:val="nl-BE"/>
        </w:rPr>
        <w:t xml:space="preserve"> Vroeger werd </w:t>
      </w:r>
      <w:r w:rsidR="003414D1" w:rsidRPr="0069784D">
        <w:rPr>
          <w:lang w:val="nl-BE"/>
        </w:rPr>
        <w:t>ervan uitgegaan</w:t>
      </w:r>
      <w:r w:rsidRPr="0069784D">
        <w:rPr>
          <w:lang w:val="nl-BE"/>
        </w:rPr>
        <w:t xml:space="preserve"> dat een ruimte voor sekswerk restrictief diende te worden geïnterpreteerd</w:t>
      </w:r>
      <w:r w:rsidRPr="0069784D">
        <w:rPr>
          <w:rStyle w:val="FootnoteReference"/>
          <w:lang w:val="nl-BE"/>
        </w:rPr>
        <w:footnoteReference w:customMarkFollows="1" w:id="80"/>
        <w:t>80</w:t>
      </w:r>
      <w:r w:rsidR="003414D1" w:rsidRPr="0069784D">
        <w:rPr>
          <w:lang w:val="nl-BE"/>
        </w:rPr>
        <w:t>.</w:t>
      </w:r>
    </w:p>
    <w:p w14:paraId="4962CE75" w14:textId="76FA3AD1" w:rsidR="00DD4815" w:rsidRPr="0069784D" w:rsidRDefault="00DD4815" w:rsidP="009C15CF">
      <w:pPr>
        <w:jc w:val="both"/>
        <w:rPr>
          <w:lang w:val="nl-BE"/>
        </w:rPr>
      </w:pPr>
      <w:r w:rsidRPr="0069784D">
        <w:rPr>
          <w:lang w:val="nl-BE"/>
        </w:rPr>
        <w:t xml:space="preserve">Op basis van de nieuwe wet mag een meerderjarige reclame plaatsen voor eigen seksuele diensten op een </w:t>
      </w:r>
      <w:r w:rsidR="003414D1" w:rsidRPr="0069784D">
        <w:rPr>
          <w:lang w:val="nl-BE"/>
        </w:rPr>
        <w:t>website</w:t>
      </w:r>
      <w:r w:rsidRPr="0069784D">
        <w:rPr>
          <w:lang w:val="nl-BE"/>
        </w:rPr>
        <w:t xml:space="preserve"> of </w:t>
      </w:r>
      <w:r w:rsidR="003414D1" w:rsidRPr="0069784D">
        <w:rPr>
          <w:lang w:val="nl-BE"/>
        </w:rPr>
        <w:t>elk</w:t>
      </w:r>
      <w:r w:rsidRPr="0069784D">
        <w:rPr>
          <w:lang w:val="nl-BE"/>
        </w:rPr>
        <w:t xml:space="preserve"> ander medium, die specifiek voor dit doel zijn bestemd. </w:t>
      </w:r>
    </w:p>
    <w:p w14:paraId="6E974514" w14:textId="7B593B0A" w:rsidR="00DD4815" w:rsidRPr="0069784D" w:rsidRDefault="00DD4815" w:rsidP="009C15CF">
      <w:pPr>
        <w:jc w:val="both"/>
        <w:rPr>
          <w:lang w:val="nl-BE"/>
        </w:rPr>
      </w:pPr>
      <w:r w:rsidRPr="0069784D">
        <w:rPr>
          <w:lang w:val="nl-BE"/>
        </w:rPr>
        <w:t xml:space="preserve">Overeenkomstig deze wet mag tot slot de aanbieder van een internetplatform of enig ander medium of een onderdeel ervan, die specifiek voor dit doel zijn bestemd, reclame maken voor diensten van seksuele aard of voor een plaats bestemd voor het aanbieden van diensten van seksuele aard door meerderjarigen, voor zover hij maatregelen neemt ter bescherming van de sekswerker en ter voorkoming van misbruik van prostitutie en mensenhandel, door mogelijke gevallen van misbruik en uitbuiting onmiddellijk aan de politiediensten of gerechtelijke overheden te melden en door zich te houden aan de nadere regels die door de </w:t>
      </w:r>
      <w:r w:rsidR="003414D1" w:rsidRPr="0069784D">
        <w:rPr>
          <w:lang w:val="nl-BE"/>
        </w:rPr>
        <w:t>K</w:t>
      </w:r>
      <w:r w:rsidRPr="0069784D">
        <w:rPr>
          <w:lang w:val="nl-BE"/>
        </w:rPr>
        <w:t xml:space="preserve">oning zijn vastgesteld. </w:t>
      </w:r>
    </w:p>
    <w:p w14:paraId="3C4203A8" w14:textId="5522D6E7" w:rsidR="00DD4815" w:rsidRPr="0069784D" w:rsidRDefault="00DD4815" w:rsidP="009C15CF">
      <w:pPr>
        <w:jc w:val="both"/>
        <w:rPr>
          <w:lang w:val="nl-BE"/>
        </w:rPr>
      </w:pPr>
      <w:r w:rsidRPr="0069784D">
        <w:rPr>
          <w:lang w:val="nl-BE"/>
        </w:rPr>
        <w:t>Zo wordt ernaar gestreefd om op een wettelijke manier de medewerking van deze sites te verkrijgen om pooierschap en mensenhandel efficiënter te kunnen bestrijden.</w:t>
      </w:r>
    </w:p>
    <w:p w14:paraId="4B931361" w14:textId="77777777" w:rsidR="00DD4815" w:rsidRPr="0069784D" w:rsidRDefault="00DD4815" w:rsidP="009C15CF">
      <w:pPr>
        <w:jc w:val="both"/>
        <w:rPr>
          <w:lang w:val="nl-BE"/>
        </w:rPr>
      </w:pPr>
      <w:r w:rsidRPr="0069784D">
        <w:rPr>
          <w:lang w:val="nl-BE"/>
        </w:rPr>
        <w:t>De in de vroegere tekst bepaalde straf van één maand tot één jaar werd behouden.</w:t>
      </w:r>
      <w:bookmarkStart w:id="47" w:name="_Hlk101878527"/>
      <w:r w:rsidRPr="0069784D">
        <w:rPr>
          <w:lang w:val="nl-BE"/>
        </w:rPr>
        <w:t xml:space="preserve"> </w:t>
      </w:r>
      <w:bookmarkEnd w:id="47"/>
    </w:p>
    <w:p w14:paraId="645B57CA" w14:textId="2A624A9F" w:rsidR="00DD4815" w:rsidRPr="0069784D" w:rsidRDefault="00DD4815" w:rsidP="009C15CF">
      <w:pPr>
        <w:jc w:val="both"/>
        <w:rPr>
          <w:i/>
          <w:iCs/>
          <w:lang w:val="nl-BE"/>
        </w:rPr>
      </w:pPr>
      <w:r w:rsidRPr="007A1B2D">
        <w:rPr>
          <w:lang w:val="nl-BE"/>
        </w:rPr>
        <w:t>“</w:t>
      </w:r>
      <w:r w:rsidRPr="007A1B2D">
        <w:rPr>
          <w:iCs/>
          <w:lang w:val="nl-BE"/>
        </w:rPr>
        <w:t>Ten slotte kunnen er via koninklijke besluiten nadere</w:t>
      </w:r>
      <w:r w:rsidR="003414D1" w:rsidRPr="007A1B2D">
        <w:rPr>
          <w:iCs/>
          <w:lang w:val="nl-BE"/>
        </w:rPr>
        <w:t xml:space="preserve"> </w:t>
      </w:r>
      <w:r w:rsidRPr="007A1B2D">
        <w:rPr>
          <w:iCs/>
          <w:lang w:val="nl-BE"/>
        </w:rPr>
        <w:t>voorwaarden van reclame worden bepaald om de minderjarigen te beschermen.</w:t>
      </w:r>
      <w:r w:rsidRPr="007A1B2D">
        <w:rPr>
          <w:lang w:val="nl-BE"/>
        </w:rPr>
        <w:t xml:space="preserve"> De Koning zal dus bijvoorbeeld de maximale grootte van reclame voor sekswerk kunnen bepalen. [...] Daarnaast kunnen de woorden “modaliteiten” ook op de plaats slaan waar reclame voor seksuele diensten mag worden gepubliceerd.”</w:t>
      </w:r>
      <w:r w:rsidRPr="0069784D">
        <w:rPr>
          <w:rStyle w:val="FootnoteReference"/>
          <w:i/>
          <w:iCs/>
          <w:lang w:val="nl-BE"/>
        </w:rPr>
        <w:footnoteReference w:customMarkFollows="1" w:id="81"/>
        <w:t>81</w:t>
      </w:r>
      <w:r w:rsidR="003414D1" w:rsidRPr="0069784D">
        <w:rPr>
          <w:i/>
          <w:iCs/>
          <w:lang w:val="nl-BE"/>
        </w:rPr>
        <w:t>.</w:t>
      </w:r>
    </w:p>
    <w:p w14:paraId="1F43BB46" w14:textId="6AE45E1E" w:rsidR="00DD4815" w:rsidRDefault="00DD4815" w:rsidP="009C15CF">
      <w:pPr>
        <w:jc w:val="both"/>
        <w:rPr>
          <w:lang w:val="nl-BE"/>
        </w:rPr>
      </w:pPr>
    </w:p>
    <w:p w14:paraId="5DC3E2C5" w14:textId="77777777" w:rsidR="00D703D6" w:rsidRPr="0069784D" w:rsidRDefault="00D703D6" w:rsidP="009C15CF">
      <w:pPr>
        <w:jc w:val="both"/>
        <w:rPr>
          <w:lang w:val="nl-BE"/>
        </w:rPr>
      </w:pPr>
    </w:p>
    <w:p w14:paraId="04742C93" w14:textId="5104C54B" w:rsidR="00DD4815" w:rsidRPr="0069784D" w:rsidRDefault="00DD4815" w:rsidP="009C15CF">
      <w:pPr>
        <w:pStyle w:val="Heading3"/>
        <w:jc w:val="both"/>
        <w:rPr>
          <w:rFonts w:asciiTheme="minorHAnsi" w:hAnsiTheme="minorHAnsi" w:cstheme="minorHAnsi"/>
          <w:color w:val="auto"/>
          <w:sz w:val="28"/>
          <w:szCs w:val="28"/>
          <w:lang w:val="nl-BE"/>
        </w:rPr>
      </w:pPr>
      <w:bookmarkStart w:id="48" w:name="_Toc104923496"/>
      <w:r w:rsidRPr="0069784D">
        <w:rPr>
          <w:rFonts w:asciiTheme="minorHAnsi" w:hAnsiTheme="minorHAnsi"/>
          <w:color w:val="auto"/>
          <w:sz w:val="28"/>
          <w:lang w:val="nl-BE"/>
        </w:rPr>
        <w:t>Artikel 433quater/3</w:t>
      </w:r>
      <w:r w:rsidR="003414D1" w:rsidRPr="0069784D">
        <w:rPr>
          <w:rFonts w:asciiTheme="minorHAnsi" w:hAnsiTheme="minorHAnsi"/>
          <w:color w:val="auto"/>
          <w:sz w:val="28"/>
          <w:lang w:val="nl-BE"/>
        </w:rPr>
        <w:t xml:space="preserve"> - </w:t>
      </w:r>
      <w:r w:rsidRPr="0069784D">
        <w:rPr>
          <w:rFonts w:asciiTheme="minorHAnsi" w:hAnsiTheme="minorHAnsi"/>
          <w:color w:val="auto"/>
          <w:sz w:val="28"/>
          <w:lang w:val="nl-BE"/>
        </w:rPr>
        <w:t>Het openbaar aanzetten tot het zich prostitueren</w:t>
      </w:r>
      <w:bookmarkEnd w:id="48"/>
      <w:r w:rsidRPr="0069784D">
        <w:rPr>
          <w:rFonts w:asciiTheme="minorHAnsi" w:hAnsiTheme="minorHAnsi"/>
          <w:color w:val="auto"/>
          <w:sz w:val="28"/>
          <w:lang w:val="nl-BE"/>
        </w:rPr>
        <w:t xml:space="preserve"> </w:t>
      </w:r>
    </w:p>
    <w:p w14:paraId="77DEA318" w14:textId="77777777" w:rsidR="00DD4815" w:rsidRPr="0069784D" w:rsidRDefault="00DD4815" w:rsidP="009C15CF">
      <w:pPr>
        <w:jc w:val="both"/>
        <w:rPr>
          <w:i/>
          <w:lang w:val="nl-BE"/>
        </w:rPr>
      </w:pPr>
    </w:p>
    <w:p w14:paraId="3323C98E" w14:textId="77777777" w:rsidR="00DD4815" w:rsidRPr="0069784D" w:rsidRDefault="00DD4815" w:rsidP="009C15CF">
      <w:pPr>
        <w:jc w:val="both"/>
        <w:rPr>
          <w:i/>
          <w:iCs/>
          <w:lang w:val="nl-BE"/>
        </w:rPr>
      </w:pPr>
      <w:r w:rsidRPr="0069784D">
        <w:rPr>
          <w:i/>
          <w:lang w:val="nl-BE"/>
        </w:rPr>
        <w:t>“</w:t>
      </w:r>
      <w:r w:rsidRPr="0069784D">
        <w:rPr>
          <w:i/>
          <w:iCs/>
          <w:lang w:val="nl-BE"/>
        </w:rPr>
        <w:t>Het openbaar aanzetten tot het zich prostitueren is:</w:t>
      </w:r>
    </w:p>
    <w:p w14:paraId="7EF80D8C" w14:textId="77777777" w:rsidR="00DD4815" w:rsidRPr="0069784D" w:rsidRDefault="00DD4815" w:rsidP="009C15CF">
      <w:pPr>
        <w:jc w:val="both"/>
        <w:rPr>
          <w:i/>
          <w:iCs/>
          <w:lang w:val="nl-BE"/>
        </w:rPr>
      </w:pPr>
      <w:r w:rsidRPr="0069784D">
        <w:rPr>
          <w:i/>
          <w:lang w:val="nl-BE"/>
        </w:rPr>
        <w:t xml:space="preserve"> - het door enig reclamemiddel, impliciet of expliciet, aanzetten van een meerderjarige tot het zich prostitueren;</w:t>
      </w:r>
    </w:p>
    <w:p w14:paraId="0D2CA036" w14:textId="77777777" w:rsidR="00DD4815" w:rsidRPr="0069784D" w:rsidRDefault="00DD4815" w:rsidP="009C15CF">
      <w:pPr>
        <w:jc w:val="both"/>
        <w:rPr>
          <w:i/>
          <w:iCs/>
          <w:lang w:val="nl-BE"/>
        </w:rPr>
      </w:pPr>
      <w:r w:rsidRPr="0069784D">
        <w:rPr>
          <w:i/>
          <w:lang w:val="nl-BE"/>
        </w:rPr>
        <w:lastRenderedPageBreak/>
        <w:t>- het met welk middel ook, in het openbaar, een meerderjarige aanzetten tot het zich prostitueren.</w:t>
      </w:r>
    </w:p>
    <w:p w14:paraId="040ADDE9" w14:textId="03CF53AF" w:rsidR="00DD4815" w:rsidRPr="0069784D" w:rsidRDefault="00DD4815" w:rsidP="009C15CF">
      <w:pPr>
        <w:jc w:val="both"/>
        <w:rPr>
          <w:i/>
          <w:iCs/>
          <w:lang w:val="nl-BE"/>
        </w:rPr>
      </w:pPr>
      <w:r w:rsidRPr="0069784D">
        <w:rPr>
          <w:i/>
          <w:lang w:val="nl-BE"/>
        </w:rPr>
        <w:t>Dit misdrijf wordt bestraft met gevangenisstraf van een maand tot een jaar en met geldboete van honderd euro tot duizend euro."</w:t>
      </w:r>
    </w:p>
    <w:p w14:paraId="2FEFE027" w14:textId="19B6FAAD" w:rsidR="00DD4815" w:rsidRPr="0069784D" w:rsidRDefault="00DD4815" w:rsidP="009C15CF">
      <w:pPr>
        <w:jc w:val="both"/>
        <w:rPr>
          <w:lang w:val="nl-BE"/>
        </w:rPr>
      </w:pPr>
      <w:r w:rsidRPr="0069784D">
        <w:rPr>
          <w:b/>
          <w:bCs/>
          <w:lang w:val="nl-BE"/>
        </w:rPr>
        <w:t>Artikel 433quater/3 vervangt het vroegere artikel 380bis van het Strafwetboek</w:t>
      </w:r>
      <w:r w:rsidR="001034AF" w:rsidRPr="0069784D">
        <w:rPr>
          <w:b/>
          <w:bCs/>
          <w:lang w:val="nl-BE"/>
        </w:rPr>
        <w:t>,</w:t>
      </w:r>
      <w:r w:rsidRPr="0069784D">
        <w:rPr>
          <w:b/>
          <w:bCs/>
          <w:lang w:val="nl-BE"/>
        </w:rPr>
        <w:t xml:space="preserve"> dat als volgt luidde:</w:t>
      </w:r>
      <w:r w:rsidRPr="0069784D">
        <w:rPr>
          <w:lang w:val="nl-BE"/>
        </w:rPr>
        <w:t xml:space="preserve"> “</w:t>
      </w:r>
      <w:r w:rsidRPr="0069784D">
        <w:rPr>
          <w:i/>
          <w:iCs/>
          <w:lang w:val="nl-BE"/>
        </w:rPr>
        <w:t>Met gevangenisstraf van acht dagen tot drie maanden en met geldboete van zesentwintig [euro] tot vijfhonderd [euro] wordt gestraft hij die in een openbare plaats door woorden, gebaren of tekens iemand tot ontucht aanzet.</w:t>
      </w:r>
      <w:r w:rsidRPr="0069784D">
        <w:rPr>
          <w:lang w:val="nl-BE"/>
        </w:rPr>
        <w:t xml:space="preserve"> </w:t>
      </w:r>
      <w:r w:rsidRPr="0069784D">
        <w:rPr>
          <w:i/>
          <w:iCs/>
          <w:lang w:val="nl-BE"/>
        </w:rPr>
        <w:t>De straf wordt verdubbeld als het misdrijf tegenover een minderjarige wordt gepleegd.</w:t>
      </w:r>
      <w:r w:rsidRPr="0069784D">
        <w:rPr>
          <w:lang w:val="nl-BE"/>
        </w:rPr>
        <w:t>”</w:t>
      </w:r>
    </w:p>
    <w:p w14:paraId="20770DF7" w14:textId="1D3CA210" w:rsidR="00DD4815" w:rsidRPr="0069784D" w:rsidRDefault="00DD4815" w:rsidP="009C15CF">
      <w:pPr>
        <w:jc w:val="both"/>
        <w:rPr>
          <w:lang w:val="nl-BE"/>
        </w:rPr>
      </w:pPr>
      <w:r w:rsidRPr="0069784D">
        <w:rPr>
          <w:lang w:val="nl-BE"/>
        </w:rPr>
        <w:t xml:space="preserve">Er </w:t>
      </w:r>
      <w:r w:rsidR="001034AF" w:rsidRPr="0069784D">
        <w:rPr>
          <w:lang w:val="nl-BE"/>
        </w:rPr>
        <w:t>kan</w:t>
      </w:r>
      <w:r w:rsidRPr="0069784D">
        <w:rPr>
          <w:lang w:val="nl-BE"/>
        </w:rPr>
        <w:t xml:space="preserve"> vastgesteld </w:t>
      </w:r>
      <w:r w:rsidR="001034AF" w:rsidRPr="0069784D">
        <w:rPr>
          <w:lang w:val="nl-BE"/>
        </w:rPr>
        <w:t xml:space="preserve">worden </w:t>
      </w:r>
      <w:r w:rsidRPr="0069784D">
        <w:rPr>
          <w:lang w:val="nl-BE"/>
        </w:rPr>
        <w:t xml:space="preserve">dat </w:t>
      </w:r>
      <w:r w:rsidR="001034AF" w:rsidRPr="0069784D">
        <w:rPr>
          <w:lang w:val="nl-BE"/>
        </w:rPr>
        <w:t>het</w:t>
      </w:r>
      <w:r w:rsidRPr="0069784D">
        <w:rPr>
          <w:lang w:val="nl-BE"/>
        </w:rPr>
        <w:t xml:space="preserve"> in artikel 380bis van het Strafwetboek vermelde </w:t>
      </w:r>
      <w:r w:rsidR="001034AF" w:rsidRPr="0069784D">
        <w:rPr>
          <w:b/>
          <w:bCs/>
          <w:lang w:val="nl-BE"/>
        </w:rPr>
        <w:t>begrip ‘ontucht</w:t>
      </w:r>
      <w:r w:rsidR="00B94AEE" w:rsidRPr="0069784D">
        <w:rPr>
          <w:b/>
          <w:bCs/>
          <w:lang w:val="nl-BE"/>
        </w:rPr>
        <w:t>’</w:t>
      </w:r>
      <w:r w:rsidRPr="0069784D">
        <w:rPr>
          <w:b/>
          <w:bCs/>
          <w:lang w:val="nl-BE"/>
        </w:rPr>
        <w:t xml:space="preserve"> </w:t>
      </w:r>
      <w:r w:rsidR="00C500D2" w:rsidRPr="00C500D2">
        <w:rPr>
          <w:b/>
          <w:bCs/>
          <w:lang w:val="nl-BE"/>
        </w:rPr>
        <w:t>in artikel 433quater/3 niet</w:t>
      </w:r>
      <w:r w:rsidRPr="0069784D">
        <w:rPr>
          <w:b/>
          <w:bCs/>
          <w:lang w:val="nl-BE"/>
        </w:rPr>
        <w:t xml:space="preserve"> werd overgenomen</w:t>
      </w:r>
      <w:r w:rsidRPr="0069784D">
        <w:rPr>
          <w:lang w:val="nl-BE"/>
        </w:rPr>
        <w:t xml:space="preserve">, dat artikel 433quater/3 </w:t>
      </w:r>
      <w:r w:rsidR="00FA076F" w:rsidRPr="0069784D">
        <w:rPr>
          <w:lang w:val="nl-BE"/>
        </w:rPr>
        <w:t>uitsluitend</w:t>
      </w:r>
      <w:r w:rsidRPr="0069784D">
        <w:rPr>
          <w:lang w:val="nl-BE"/>
        </w:rPr>
        <w:t xml:space="preserve"> betrekking heeft op meerderjarigen en dat in twee leden een onderscheid wordt gemaakt tussen het door enig reclamemiddel, impliciet of expliciet, aanzetten van een meerderj</w:t>
      </w:r>
      <w:r w:rsidR="00C500D2">
        <w:rPr>
          <w:lang w:val="nl-BE"/>
        </w:rPr>
        <w:t>arige tot het zich prostitueren</w:t>
      </w:r>
      <w:r w:rsidRPr="0069784D">
        <w:rPr>
          <w:lang w:val="nl-BE"/>
        </w:rPr>
        <w:t xml:space="preserve"> enerzijds, en het met welk middel ook, in het openbaar, een meerderjarige aanz</w:t>
      </w:r>
      <w:r w:rsidR="00C500D2">
        <w:rPr>
          <w:lang w:val="nl-BE"/>
        </w:rPr>
        <w:t>etten tot het zich prostitueren</w:t>
      </w:r>
      <w:r w:rsidRPr="0069784D">
        <w:rPr>
          <w:lang w:val="nl-BE"/>
        </w:rPr>
        <w:t xml:space="preserve"> anderzijds.</w:t>
      </w:r>
    </w:p>
    <w:p w14:paraId="125F6F63" w14:textId="42D847FD" w:rsidR="00DD4815" w:rsidRPr="0069784D" w:rsidRDefault="00DD4815" w:rsidP="009C15CF">
      <w:pPr>
        <w:jc w:val="both"/>
        <w:rPr>
          <w:lang w:val="nl-BE"/>
        </w:rPr>
      </w:pPr>
      <w:r w:rsidRPr="0069784D">
        <w:rPr>
          <w:lang w:val="nl-BE"/>
        </w:rPr>
        <w:t>De in artikel 433quater/3 vastgelegde strafbaarstelling is ruimer dan de</w:t>
      </w:r>
      <w:r w:rsidR="00E22591" w:rsidRPr="0069784D">
        <w:rPr>
          <w:lang w:val="nl-BE"/>
        </w:rPr>
        <w:t>ze uit</w:t>
      </w:r>
      <w:r w:rsidRPr="0069784D">
        <w:rPr>
          <w:lang w:val="nl-BE"/>
        </w:rPr>
        <w:t xml:space="preserve"> artikel 380bis van het Strafwetboek</w:t>
      </w:r>
      <w:r w:rsidR="00E22591" w:rsidRPr="0069784D">
        <w:rPr>
          <w:lang w:val="nl-BE"/>
        </w:rPr>
        <w:t>,</w:t>
      </w:r>
      <w:r w:rsidR="00B94AEE" w:rsidRPr="0069784D">
        <w:rPr>
          <w:lang w:val="nl-BE"/>
        </w:rPr>
        <w:t xml:space="preserve"> </w:t>
      </w:r>
      <w:r w:rsidRPr="0069784D">
        <w:rPr>
          <w:lang w:val="nl-BE"/>
        </w:rPr>
        <w:t xml:space="preserve">omdat in het eerstgenoemde artikel zowel het door enig reclamemiddel impliciet of expliciet aanzetten van een meerderjarige tot het zich prostitueren, als het met welk middel ook in het openbaar een meerderjarige aanzetten tot het zich prostitueren wordt beoogd, terwijl in het vroegere artikel 380bis van het Strafwetboek er louter sprake is van het iemand tot ontucht aanzetten </w:t>
      </w:r>
      <w:r w:rsidRPr="0069784D">
        <w:rPr>
          <w:i/>
          <w:iCs/>
          <w:lang w:val="nl-BE"/>
        </w:rPr>
        <w:t>in een openbare plaats</w:t>
      </w:r>
      <w:r w:rsidRPr="0069784D">
        <w:rPr>
          <w:lang w:val="nl-BE"/>
        </w:rPr>
        <w:t xml:space="preserve"> door </w:t>
      </w:r>
      <w:r w:rsidRPr="0069784D">
        <w:rPr>
          <w:i/>
          <w:iCs/>
          <w:lang w:val="nl-BE"/>
        </w:rPr>
        <w:t>woorden</w:t>
      </w:r>
      <w:r w:rsidRPr="0069784D">
        <w:rPr>
          <w:lang w:val="nl-BE"/>
        </w:rPr>
        <w:t xml:space="preserve">, </w:t>
      </w:r>
      <w:r w:rsidRPr="0069784D">
        <w:rPr>
          <w:i/>
          <w:iCs/>
          <w:lang w:val="nl-BE"/>
        </w:rPr>
        <w:t>gebaren</w:t>
      </w:r>
      <w:r w:rsidRPr="0069784D">
        <w:rPr>
          <w:lang w:val="nl-BE"/>
        </w:rPr>
        <w:t xml:space="preserve"> of </w:t>
      </w:r>
      <w:r w:rsidRPr="0069784D">
        <w:rPr>
          <w:i/>
          <w:iCs/>
          <w:lang w:val="nl-BE"/>
        </w:rPr>
        <w:t>tekens</w:t>
      </w:r>
      <w:r w:rsidRPr="0069784D">
        <w:rPr>
          <w:lang w:val="nl-BE"/>
        </w:rPr>
        <w:t xml:space="preserve">. Daarnaast is het toepassingsgebied van </w:t>
      </w:r>
      <w:r w:rsidR="00E22591" w:rsidRPr="0069784D">
        <w:rPr>
          <w:lang w:val="nl-BE"/>
        </w:rPr>
        <w:t xml:space="preserve">de </w:t>
      </w:r>
      <w:r w:rsidRPr="0069784D">
        <w:rPr>
          <w:lang w:val="nl-BE"/>
        </w:rPr>
        <w:t>in artikel 433quater/3 vastgelegde strafbaarstelling ook beperkter</w:t>
      </w:r>
      <w:r w:rsidR="00C500D2">
        <w:rPr>
          <w:lang w:val="nl-BE"/>
        </w:rPr>
        <w:t>,</w:t>
      </w:r>
      <w:r w:rsidRPr="0069784D">
        <w:rPr>
          <w:lang w:val="nl-BE"/>
        </w:rPr>
        <w:t xml:space="preserve"> omdat het enkel gaat om het aanzetten tot prostitutie en </w:t>
      </w:r>
      <w:r w:rsidR="00C500D2">
        <w:rPr>
          <w:lang w:val="nl-BE"/>
        </w:rPr>
        <w:t xml:space="preserve">het in tegenstelling tot </w:t>
      </w:r>
      <w:r w:rsidRPr="0069784D">
        <w:rPr>
          <w:lang w:val="nl-BE"/>
        </w:rPr>
        <w:t xml:space="preserve">het vroegere artikel 380bis van het Strafwetboek </w:t>
      </w:r>
      <w:r w:rsidR="00E22591" w:rsidRPr="0069784D">
        <w:rPr>
          <w:lang w:val="nl-BE"/>
        </w:rPr>
        <w:t>geen betrekking op</w:t>
      </w:r>
      <w:r w:rsidRPr="0069784D">
        <w:rPr>
          <w:lang w:val="nl-BE"/>
        </w:rPr>
        <w:t xml:space="preserve"> het aanzetten tot ontucht</w:t>
      </w:r>
      <w:r w:rsidR="00E22591" w:rsidRPr="0069784D">
        <w:rPr>
          <w:lang w:val="nl-BE"/>
        </w:rPr>
        <w:t xml:space="preserve"> heeft</w:t>
      </w:r>
      <w:r w:rsidRPr="0069784D">
        <w:rPr>
          <w:lang w:val="nl-BE"/>
        </w:rPr>
        <w:t>.</w:t>
      </w:r>
    </w:p>
    <w:p w14:paraId="7240D458" w14:textId="3CB70F67" w:rsidR="00DD4815" w:rsidRPr="0069784D" w:rsidRDefault="00DD4815" w:rsidP="009C15CF">
      <w:pPr>
        <w:jc w:val="both"/>
        <w:rPr>
          <w:lang w:val="nl-BE"/>
        </w:rPr>
      </w:pPr>
      <w:r w:rsidRPr="0069784D">
        <w:rPr>
          <w:lang w:val="nl-BE"/>
        </w:rPr>
        <w:t xml:space="preserve">In de memorie van toelichting </w:t>
      </w:r>
      <w:r w:rsidR="00E22591" w:rsidRPr="0069784D">
        <w:rPr>
          <w:lang w:val="nl-BE"/>
        </w:rPr>
        <w:t xml:space="preserve">wordt gepreciseerd dat het verbieden van het </w:t>
      </w:r>
      <w:r w:rsidRPr="0069784D">
        <w:rPr>
          <w:lang w:val="nl-BE"/>
        </w:rPr>
        <w:t xml:space="preserve">aanzetten tot prostitutie </w:t>
      </w:r>
      <w:r w:rsidR="00E22591" w:rsidRPr="0069784D">
        <w:rPr>
          <w:lang w:val="nl-BE"/>
        </w:rPr>
        <w:t>de mogelijkheid biedt om</w:t>
      </w:r>
      <w:r w:rsidRPr="0069784D">
        <w:rPr>
          <w:lang w:val="nl-BE"/>
        </w:rPr>
        <w:t xml:space="preserve"> campagnes met betrekking tot </w:t>
      </w:r>
      <w:r w:rsidRPr="002C433B">
        <w:rPr>
          <w:i/>
          <w:iCs/>
          <w:lang w:val="nl-BE"/>
        </w:rPr>
        <w:t>sugar</w:t>
      </w:r>
      <w:r w:rsidR="002C433B" w:rsidRPr="002C433B">
        <w:rPr>
          <w:i/>
          <w:iCs/>
          <w:lang w:val="nl-BE"/>
        </w:rPr>
        <w:t xml:space="preserve"> </w:t>
      </w:r>
      <w:r w:rsidRPr="002C433B">
        <w:rPr>
          <w:i/>
          <w:iCs/>
          <w:lang w:val="nl-BE"/>
        </w:rPr>
        <w:t>dadd</w:t>
      </w:r>
      <w:r w:rsidR="002C433B" w:rsidRPr="002C433B">
        <w:rPr>
          <w:i/>
          <w:iCs/>
          <w:lang w:val="nl-BE"/>
        </w:rPr>
        <w:t>ies</w:t>
      </w:r>
      <w:r w:rsidRPr="0069784D">
        <w:rPr>
          <w:lang w:val="nl-BE"/>
        </w:rPr>
        <w:t xml:space="preserve"> op en rond de</w:t>
      </w:r>
      <w:r w:rsidR="00E22591" w:rsidRPr="0069784D">
        <w:rPr>
          <w:lang w:val="nl-BE"/>
        </w:rPr>
        <w:t xml:space="preserve"> site van de</w:t>
      </w:r>
      <w:r w:rsidRPr="0069784D">
        <w:rPr>
          <w:lang w:val="nl-BE"/>
        </w:rPr>
        <w:t xml:space="preserve"> </w:t>
      </w:r>
      <w:r w:rsidRPr="0069784D">
        <w:rPr>
          <w:i/>
          <w:iCs/>
          <w:lang w:val="nl-BE"/>
        </w:rPr>
        <w:t>Université Libre de Bruxelles</w:t>
      </w:r>
      <w:r w:rsidRPr="0069784D">
        <w:rPr>
          <w:lang w:val="nl-BE"/>
        </w:rPr>
        <w:t xml:space="preserve"> (ULB) </w:t>
      </w:r>
      <w:r w:rsidR="00FA076F" w:rsidRPr="0069784D">
        <w:rPr>
          <w:lang w:val="nl-BE"/>
        </w:rPr>
        <w:t>te kunnen blijven bestraffen</w:t>
      </w:r>
      <w:r w:rsidRPr="0069784D">
        <w:rPr>
          <w:rStyle w:val="FootnoteReference"/>
          <w:lang w:val="nl-BE"/>
        </w:rPr>
        <w:footnoteReference w:customMarkFollows="1" w:id="82"/>
        <w:t>82</w:t>
      </w:r>
      <w:r w:rsidRPr="0069784D">
        <w:rPr>
          <w:lang w:val="nl-BE"/>
        </w:rPr>
        <w:t xml:space="preserve">. </w:t>
      </w:r>
    </w:p>
    <w:p w14:paraId="3C1F3AB1" w14:textId="39A6F68A" w:rsidR="00DD4815" w:rsidRPr="0069784D" w:rsidRDefault="00DD4815" w:rsidP="009C15CF">
      <w:pPr>
        <w:jc w:val="both"/>
        <w:rPr>
          <w:lang w:val="nl-BE"/>
        </w:rPr>
      </w:pPr>
      <w:r w:rsidRPr="0069784D">
        <w:rPr>
          <w:lang w:val="nl-BE"/>
        </w:rPr>
        <w:t xml:space="preserve">De strafmaat </w:t>
      </w:r>
      <w:r w:rsidR="00FA076F" w:rsidRPr="0069784D">
        <w:rPr>
          <w:lang w:val="nl-BE"/>
        </w:rPr>
        <w:t>wordt</w:t>
      </w:r>
      <w:r w:rsidRPr="0069784D">
        <w:rPr>
          <w:lang w:val="nl-BE"/>
        </w:rPr>
        <w:t xml:space="preserve"> </w:t>
      </w:r>
      <w:r w:rsidR="00FA076F" w:rsidRPr="0069784D">
        <w:rPr>
          <w:lang w:val="nl-BE"/>
        </w:rPr>
        <w:t>verzwaard</w:t>
      </w:r>
      <w:r w:rsidRPr="0069784D">
        <w:rPr>
          <w:lang w:val="nl-BE"/>
        </w:rPr>
        <w:t>. In het vroegere artikel 380bis van het Strafwetboek werd voor meerderjarigen namelijk een gevangenisstraf van acht dagen tot drie maanden vastgelegd, terwijl in de nieuwe bepaling een gevangenisstraf van één maand tot één jaar en een boete van 100 tot 1</w:t>
      </w:r>
      <w:r w:rsidR="00E22591" w:rsidRPr="0069784D">
        <w:rPr>
          <w:lang w:val="nl-BE"/>
        </w:rPr>
        <w:t>.</w:t>
      </w:r>
      <w:r w:rsidRPr="0069784D">
        <w:rPr>
          <w:lang w:val="nl-BE"/>
        </w:rPr>
        <w:t xml:space="preserve">000 euro </w:t>
      </w:r>
      <w:r w:rsidR="00E22591" w:rsidRPr="0069784D">
        <w:rPr>
          <w:lang w:val="nl-BE"/>
        </w:rPr>
        <w:t>bepaald wordt</w:t>
      </w:r>
      <w:r w:rsidRPr="0069784D">
        <w:rPr>
          <w:lang w:val="nl-BE"/>
        </w:rPr>
        <w:t>.</w:t>
      </w:r>
    </w:p>
    <w:p w14:paraId="151B628F" w14:textId="77777777" w:rsidR="00DD4815" w:rsidRPr="0069784D" w:rsidRDefault="00DD4815" w:rsidP="009C15CF">
      <w:pPr>
        <w:jc w:val="both"/>
        <w:rPr>
          <w:lang w:val="nl-BE"/>
        </w:rPr>
      </w:pPr>
    </w:p>
    <w:p w14:paraId="56A0BBA6" w14:textId="5A021841" w:rsidR="00DD4815" w:rsidRPr="0069784D" w:rsidRDefault="00DD4815" w:rsidP="009C15CF">
      <w:pPr>
        <w:pStyle w:val="Heading3"/>
        <w:jc w:val="both"/>
        <w:rPr>
          <w:rFonts w:asciiTheme="minorHAnsi" w:hAnsiTheme="minorHAnsi" w:cstheme="minorHAnsi"/>
          <w:color w:val="auto"/>
          <w:sz w:val="28"/>
          <w:szCs w:val="28"/>
          <w:lang w:val="nl-BE"/>
        </w:rPr>
      </w:pPr>
      <w:bookmarkStart w:id="49" w:name="_Toc104923497"/>
      <w:r w:rsidRPr="0069784D">
        <w:rPr>
          <w:rFonts w:asciiTheme="minorHAnsi" w:hAnsiTheme="minorHAnsi"/>
          <w:color w:val="auto"/>
          <w:sz w:val="28"/>
          <w:lang w:val="nl-BE"/>
        </w:rPr>
        <w:t>Artikel 433quater/4</w:t>
      </w:r>
      <w:r w:rsidR="00E22591" w:rsidRPr="0069784D">
        <w:rPr>
          <w:rFonts w:asciiTheme="minorHAnsi" w:hAnsiTheme="minorHAnsi"/>
          <w:color w:val="auto"/>
          <w:sz w:val="28"/>
          <w:lang w:val="nl-BE"/>
        </w:rPr>
        <w:t xml:space="preserve"> -</w:t>
      </w:r>
      <w:r w:rsidRPr="0069784D">
        <w:rPr>
          <w:rFonts w:asciiTheme="minorHAnsi" w:hAnsiTheme="minorHAnsi"/>
          <w:color w:val="auto"/>
          <w:sz w:val="28"/>
          <w:lang w:val="nl-BE"/>
        </w:rPr>
        <w:t xml:space="preserve"> Verzwaard misbruik van prostitutie.</w:t>
      </w:r>
      <w:bookmarkEnd w:id="49"/>
    </w:p>
    <w:p w14:paraId="6F4BB5E1" w14:textId="77777777" w:rsidR="00DD4815" w:rsidRPr="0069784D" w:rsidRDefault="00DD4815" w:rsidP="009C15CF">
      <w:pPr>
        <w:jc w:val="both"/>
        <w:rPr>
          <w:lang w:val="nl-BE"/>
        </w:rPr>
      </w:pPr>
    </w:p>
    <w:p w14:paraId="468D6C21" w14:textId="5AD9F5AE" w:rsidR="00DD4815" w:rsidRPr="0069784D" w:rsidRDefault="00C500D2" w:rsidP="009C15CF">
      <w:pPr>
        <w:jc w:val="both"/>
        <w:rPr>
          <w:lang w:val="nl-BE"/>
        </w:rPr>
      </w:pPr>
      <w:r w:rsidRPr="00B17307">
        <w:rPr>
          <w:lang w:val="nl-BE"/>
        </w:rPr>
        <w:t>Dit artikel bepaalt</w:t>
      </w:r>
      <w:r w:rsidR="00DD4815" w:rsidRPr="0069784D">
        <w:rPr>
          <w:lang w:val="nl-BE"/>
        </w:rPr>
        <w:t>: “</w:t>
      </w:r>
      <w:r w:rsidR="00DD4815" w:rsidRPr="0069784D">
        <w:rPr>
          <w:i/>
          <w:iCs/>
          <w:lang w:val="nl-BE"/>
        </w:rPr>
        <w:t xml:space="preserve">Misbruik van prostitutie, zoals bedoeld in de artikelen 433quater/1 tot 433quater/3 is verzwaard indien het misdrijf werd gepleegd tegen een kwetsbare meerderjarige ten gevolge van zijn onwettige of precaire administratieve toestand, zijn precaire sociale toestand, zijn </w:t>
      </w:r>
      <w:r w:rsidR="00DD4815" w:rsidRPr="0069784D">
        <w:rPr>
          <w:i/>
          <w:iCs/>
          <w:lang w:val="nl-BE"/>
        </w:rPr>
        <w:lastRenderedPageBreak/>
        <w:t>leeftijd, een zwangerschap, een ziekte dan wel een lichamelijk of geestelijk gebrek of onvolwaardigheid.</w:t>
      </w:r>
      <w:r w:rsidR="00DD4815" w:rsidRPr="0069784D">
        <w:rPr>
          <w:lang w:val="nl-BE"/>
        </w:rPr>
        <w:t>”</w:t>
      </w:r>
    </w:p>
    <w:p w14:paraId="3A79FD57" w14:textId="76B2FD2F" w:rsidR="00DD4815" w:rsidRPr="0069784D" w:rsidRDefault="00DD4815" w:rsidP="009C15CF">
      <w:pPr>
        <w:jc w:val="both"/>
        <w:rPr>
          <w:lang w:val="nl-BE"/>
        </w:rPr>
      </w:pPr>
      <w:r w:rsidRPr="0069784D">
        <w:rPr>
          <w:lang w:val="nl-BE"/>
        </w:rPr>
        <w:t xml:space="preserve">Artikel 433quater/4 </w:t>
      </w:r>
      <w:r w:rsidR="00F1720A" w:rsidRPr="0069784D">
        <w:rPr>
          <w:lang w:val="nl-BE"/>
        </w:rPr>
        <w:t>vervangt de verzwarende omstandigheden uit het</w:t>
      </w:r>
      <w:r w:rsidRPr="0069784D">
        <w:rPr>
          <w:lang w:val="nl-BE"/>
        </w:rPr>
        <w:t xml:space="preserve"> vroegere artikel 380, §3 van het Strafwetboek</w:t>
      </w:r>
      <w:r w:rsidR="00F1720A" w:rsidRPr="0069784D">
        <w:rPr>
          <w:lang w:val="nl-BE"/>
        </w:rPr>
        <w:t>, dat al</w:t>
      </w:r>
      <w:r w:rsidR="00C500D2">
        <w:rPr>
          <w:lang w:val="nl-BE"/>
        </w:rPr>
        <w:t>s</w:t>
      </w:r>
      <w:r w:rsidR="00F1720A" w:rsidRPr="0069784D">
        <w:rPr>
          <w:lang w:val="nl-BE"/>
        </w:rPr>
        <w:t xml:space="preserve"> volgt luidde</w:t>
      </w:r>
      <w:r w:rsidRPr="0069784D">
        <w:rPr>
          <w:lang w:val="nl-BE"/>
        </w:rPr>
        <w:t>:</w:t>
      </w:r>
    </w:p>
    <w:p w14:paraId="74F8B3CA" w14:textId="77777777" w:rsidR="00DD4815" w:rsidRPr="0069784D" w:rsidRDefault="00DD4815" w:rsidP="009C15CF">
      <w:pPr>
        <w:jc w:val="both"/>
        <w:rPr>
          <w:i/>
          <w:lang w:val="nl-BE"/>
        </w:rPr>
      </w:pPr>
      <w:r w:rsidRPr="0069784D">
        <w:rPr>
          <w:i/>
          <w:lang w:val="nl-BE"/>
        </w:rPr>
        <w:t>“Met (opsluiting) van tien jaar tot vijftien jaar en met geldboete van vijfhonderd [euro] tot vijftigduizend [euro] wordt gestraft het plegen van de in § 1 bedoelde misdrijven wanneer de dader daarbij :</w:t>
      </w:r>
    </w:p>
    <w:p w14:paraId="04164DA3" w14:textId="77777777" w:rsidR="00DD4815" w:rsidRPr="0069784D" w:rsidRDefault="00DD4815" w:rsidP="009C15CF">
      <w:pPr>
        <w:jc w:val="both"/>
        <w:rPr>
          <w:i/>
          <w:lang w:val="nl-BE"/>
        </w:rPr>
      </w:pPr>
      <w:r w:rsidRPr="0069784D">
        <w:rPr>
          <w:i/>
          <w:lang w:val="nl-BE"/>
        </w:rPr>
        <w:t>1° direct of indirect gebruik maakt van listige kunstgrepen, geweld, bedreigingen of enige andere vorm van dwang;</w:t>
      </w:r>
    </w:p>
    <w:p w14:paraId="66AD266D" w14:textId="5D195DF4" w:rsidR="00DD4815" w:rsidRPr="0069784D" w:rsidRDefault="00DD4815" w:rsidP="009C15CF">
      <w:pPr>
        <w:jc w:val="both"/>
        <w:rPr>
          <w:i/>
          <w:lang w:val="nl-BE"/>
        </w:rPr>
      </w:pPr>
      <w:r w:rsidRPr="0069784D">
        <w:rPr>
          <w:i/>
          <w:lang w:val="nl-BE"/>
        </w:rPr>
        <w:t>2° of misbruik maakt van de kwetsbare toestand waarin een persoon verkeert ten gevolge van zijn onwettige of precaire administratieve toestand, zijn leeftijd, zwangerschap, een ziekte dan wel een lichamelijk of geestelijk gebrek of onwaardigheid.”</w:t>
      </w:r>
    </w:p>
    <w:p w14:paraId="1BA816FD" w14:textId="7E99A0C7" w:rsidR="00DD4815" w:rsidRPr="0069784D" w:rsidRDefault="00DD4815" w:rsidP="009C15CF">
      <w:pPr>
        <w:jc w:val="both"/>
        <w:rPr>
          <w:lang w:val="nl-BE"/>
        </w:rPr>
      </w:pPr>
      <w:r w:rsidRPr="0069784D">
        <w:rPr>
          <w:lang w:val="nl-BE"/>
        </w:rPr>
        <w:t>Alle in het vroegere artikel 380</w:t>
      </w:r>
      <w:r w:rsidRPr="0069784D">
        <w:rPr>
          <w:i/>
          <w:iCs/>
          <w:lang w:val="nl-BE"/>
        </w:rPr>
        <w:t xml:space="preserve">, </w:t>
      </w:r>
      <w:r w:rsidRPr="0069784D">
        <w:rPr>
          <w:lang w:val="nl-BE"/>
        </w:rPr>
        <w:t>§3, 2°van het Strafwetboek vermelde verzwarende omstandigheden werden dus overgenomen in artikel 433quater/4</w:t>
      </w:r>
      <w:r w:rsidR="00F1720A" w:rsidRPr="0069784D">
        <w:rPr>
          <w:lang w:val="nl-BE"/>
        </w:rPr>
        <w:t>,</w:t>
      </w:r>
      <w:r w:rsidRPr="0069784D">
        <w:rPr>
          <w:lang w:val="nl-BE"/>
        </w:rPr>
        <w:t xml:space="preserve"> en in dit nieuwe artikel </w:t>
      </w:r>
      <w:r w:rsidR="00FA076F" w:rsidRPr="0069784D">
        <w:rPr>
          <w:lang w:val="nl-BE"/>
        </w:rPr>
        <w:t>wordt</w:t>
      </w:r>
      <w:r w:rsidRPr="0069784D">
        <w:rPr>
          <w:lang w:val="nl-BE"/>
        </w:rPr>
        <w:t xml:space="preserve"> – terecht – de precaire sociale toestand als verzwarende omstandigheid opgenomen. Deze toevoeging is aangewezen omdat slachtoffers al te vaak in de prostitutie belanden door de precaire </w:t>
      </w:r>
      <w:r w:rsidR="00C500D2" w:rsidRPr="00B17307">
        <w:rPr>
          <w:lang w:val="nl-BE"/>
        </w:rPr>
        <w:t>soci</w:t>
      </w:r>
      <w:r w:rsidR="008F5D2C">
        <w:rPr>
          <w:lang w:val="nl-BE"/>
        </w:rPr>
        <w:t>o</w:t>
      </w:r>
      <w:r w:rsidR="00C500D2" w:rsidRPr="00B17307">
        <w:rPr>
          <w:lang w:val="nl-BE"/>
        </w:rPr>
        <w:t>-economische</w:t>
      </w:r>
      <w:r w:rsidRPr="0069784D">
        <w:rPr>
          <w:lang w:val="nl-BE"/>
        </w:rPr>
        <w:t xml:space="preserve"> situatie waarin ze zich bevinden.</w:t>
      </w:r>
    </w:p>
    <w:p w14:paraId="1A86B743" w14:textId="2216E07B" w:rsidR="00DD4815" w:rsidRPr="0069784D" w:rsidRDefault="00DD4815" w:rsidP="009C15CF">
      <w:pPr>
        <w:jc w:val="both"/>
        <w:rPr>
          <w:lang w:val="nl-BE"/>
        </w:rPr>
      </w:pPr>
      <w:r w:rsidRPr="0069784D">
        <w:rPr>
          <w:lang w:val="nl-BE"/>
        </w:rPr>
        <w:t>Daarentegen werd de in artikel 380</w:t>
      </w:r>
      <w:r w:rsidRPr="0069784D">
        <w:rPr>
          <w:i/>
          <w:iCs/>
          <w:lang w:val="nl-BE"/>
        </w:rPr>
        <w:t xml:space="preserve">, </w:t>
      </w:r>
      <w:r w:rsidRPr="0069784D">
        <w:rPr>
          <w:lang w:val="nl-BE"/>
        </w:rPr>
        <w:t>§3, 1°</w:t>
      </w:r>
      <w:r w:rsidR="00FA076F" w:rsidRPr="0069784D">
        <w:rPr>
          <w:lang w:val="nl-BE"/>
        </w:rPr>
        <w:t xml:space="preserve"> </w:t>
      </w:r>
      <w:r w:rsidRPr="0069784D">
        <w:rPr>
          <w:lang w:val="nl-BE"/>
        </w:rPr>
        <w:t>vermelde bepaling niet o</w:t>
      </w:r>
      <w:r w:rsidR="00F1720A" w:rsidRPr="0069784D">
        <w:rPr>
          <w:lang w:val="nl-BE"/>
        </w:rPr>
        <w:t>vergenomen</w:t>
      </w:r>
      <w:r w:rsidRPr="0069784D">
        <w:rPr>
          <w:lang w:val="nl-BE"/>
        </w:rPr>
        <w:t xml:space="preserve"> in het nieuwe artikel 433quater/4. Deze vroegere verzwarende omstandigheid verwees naar het directe of indirecte gebruik van listige kunstgrepen, geweld, bedreigingen of enige andere vorm van dwang. </w:t>
      </w:r>
    </w:p>
    <w:p w14:paraId="3D314687" w14:textId="274C7CD8" w:rsidR="00DD4815" w:rsidRPr="0069784D" w:rsidRDefault="00DD4815" w:rsidP="009C15CF">
      <w:pPr>
        <w:jc w:val="both"/>
        <w:rPr>
          <w:lang w:val="nl-BE"/>
        </w:rPr>
      </w:pPr>
      <w:r w:rsidRPr="0069784D">
        <w:rPr>
          <w:lang w:val="nl-BE"/>
        </w:rPr>
        <w:t xml:space="preserve">Derhalve zal er naargelang het geval moeten worden nagegaan of de strafbaar gestelde handeling kadert </w:t>
      </w:r>
      <w:r w:rsidR="00C500D2">
        <w:rPr>
          <w:lang w:val="nl-BE"/>
        </w:rPr>
        <w:t>in</w:t>
      </w:r>
      <w:r w:rsidRPr="0069784D">
        <w:rPr>
          <w:lang w:val="nl-BE"/>
        </w:rPr>
        <w:t xml:space="preserve"> de in artikel 433septies, §1, 3° </w:t>
      </w:r>
      <w:r w:rsidR="00F1720A" w:rsidRPr="0069784D">
        <w:rPr>
          <w:lang w:val="nl-BE"/>
        </w:rPr>
        <w:t>voor het misdrijf</w:t>
      </w:r>
      <w:r w:rsidRPr="0069784D">
        <w:rPr>
          <w:lang w:val="nl-BE"/>
        </w:rPr>
        <w:t xml:space="preserve"> </w:t>
      </w:r>
      <w:r w:rsidR="00F1720A" w:rsidRPr="0069784D">
        <w:rPr>
          <w:lang w:val="nl-BE"/>
        </w:rPr>
        <w:t>‘</w:t>
      </w:r>
      <w:r w:rsidRPr="0069784D">
        <w:rPr>
          <w:lang w:val="nl-BE"/>
        </w:rPr>
        <w:t>mensenhandel</w:t>
      </w:r>
      <w:r w:rsidR="00F1720A" w:rsidRPr="0069784D">
        <w:rPr>
          <w:lang w:val="nl-BE"/>
        </w:rPr>
        <w:t>’</w:t>
      </w:r>
      <w:r w:rsidRPr="0069784D">
        <w:rPr>
          <w:lang w:val="nl-BE"/>
        </w:rPr>
        <w:t xml:space="preserve"> vastgelegde verzwarende omstandigheid dan wel binnen de in het nieuwe artikel 433quater/1 </w:t>
      </w:r>
      <w:r w:rsidR="00FA076F" w:rsidRPr="0069784D">
        <w:rPr>
          <w:lang w:val="nl-BE"/>
        </w:rPr>
        <w:t>opgenomen</w:t>
      </w:r>
      <w:r w:rsidR="00F1720A" w:rsidRPr="0069784D">
        <w:rPr>
          <w:lang w:val="nl-BE"/>
        </w:rPr>
        <w:t xml:space="preserve"> definitie van ‘pooierschap’</w:t>
      </w:r>
      <w:r w:rsidR="00303E8B">
        <w:rPr>
          <w:lang w:val="nl-BE"/>
        </w:rPr>
        <w:t>,</w:t>
      </w:r>
      <w:r w:rsidR="00F1720A" w:rsidRPr="0069784D">
        <w:rPr>
          <w:lang w:val="nl-BE"/>
        </w:rPr>
        <w:t xml:space="preserve"> in combinatie met </w:t>
      </w:r>
      <w:r w:rsidRPr="0069784D">
        <w:rPr>
          <w:lang w:val="nl-BE"/>
        </w:rPr>
        <w:t xml:space="preserve">misdrijven </w:t>
      </w:r>
      <w:r w:rsidR="00C500D2">
        <w:rPr>
          <w:lang w:val="nl-BE"/>
        </w:rPr>
        <w:t>als</w:t>
      </w:r>
      <w:r w:rsidRPr="0069784D">
        <w:rPr>
          <w:lang w:val="nl-BE"/>
        </w:rPr>
        <w:t xml:space="preserve"> </w:t>
      </w:r>
      <w:r w:rsidR="00303E8B">
        <w:rPr>
          <w:lang w:val="nl-BE"/>
        </w:rPr>
        <w:t xml:space="preserve">slagen </w:t>
      </w:r>
      <w:r w:rsidRPr="0069784D">
        <w:rPr>
          <w:lang w:val="nl-BE"/>
        </w:rPr>
        <w:t>en verwondingen en/of bedreigingen, enz</w:t>
      </w:r>
      <w:r w:rsidR="00F1720A" w:rsidRPr="0069784D">
        <w:rPr>
          <w:lang w:val="nl-BE"/>
        </w:rPr>
        <w:t>ovoort</w:t>
      </w:r>
      <w:r w:rsidRPr="0069784D">
        <w:rPr>
          <w:lang w:val="nl-BE"/>
        </w:rPr>
        <w:t>.</w:t>
      </w:r>
    </w:p>
    <w:p w14:paraId="266B83EF" w14:textId="1A3E6065" w:rsidR="00DD4815" w:rsidRPr="0069784D" w:rsidRDefault="00DD4815" w:rsidP="009C15CF">
      <w:pPr>
        <w:jc w:val="both"/>
        <w:rPr>
          <w:lang w:val="nl-BE"/>
        </w:rPr>
      </w:pPr>
      <w:r w:rsidRPr="0069784D">
        <w:rPr>
          <w:lang w:val="nl-BE"/>
        </w:rPr>
        <w:t xml:space="preserve">In de memorie van toelichting wordt </w:t>
      </w:r>
      <w:r w:rsidR="00F1720A" w:rsidRPr="0069784D">
        <w:rPr>
          <w:lang w:val="nl-BE"/>
        </w:rPr>
        <w:t xml:space="preserve">hierover </w:t>
      </w:r>
      <w:r w:rsidRPr="0069784D">
        <w:rPr>
          <w:lang w:val="nl-BE"/>
        </w:rPr>
        <w:t>het volgende vermeld: “</w:t>
      </w:r>
      <w:r w:rsidRPr="0069784D">
        <w:rPr>
          <w:i/>
          <w:iCs/>
          <w:lang w:val="nl-BE"/>
        </w:rPr>
        <w:t>De definitie van verzwaard misbruik van prostitutie in het kader van het hier geviseerde misdrijf heeft geen enkele invloed op de (veel ruimere) interpretatie van het begrip “uitbuiting van prostitutie of andere vormen van seksuele uitbuiting” in artikel 433quinquies, § 1,</w:t>
      </w:r>
      <w:r w:rsidRPr="0069784D">
        <w:rPr>
          <w:lang w:val="nl-BE"/>
        </w:rPr>
        <w:t xml:space="preserve"> </w:t>
      </w:r>
      <w:r w:rsidRPr="0069784D">
        <w:rPr>
          <w:i/>
          <w:iCs/>
          <w:lang w:val="nl-BE"/>
        </w:rPr>
        <w:t>eerste lid,1° Sw.</w:t>
      </w:r>
      <w:r w:rsidRPr="0069784D">
        <w:rPr>
          <w:lang w:val="nl-BE"/>
        </w:rPr>
        <w:t xml:space="preserve"> </w:t>
      </w:r>
      <w:r w:rsidRPr="0069784D">
        <w:rPr>
          <w:i/>
          <w:iCs/>
          <w:lang w:val="nl-BE"/>
        </w:rPr>
        <w:t>Misbruik maakt juist het onderscheid met uitbuiting.</w:t>
      </w:r>
      <w:r w:rsidRPr="0069784D">
        <w:rPr>
          <w:lang w:val="nl-BE"/>
        </w:rPr>
        <w:t xml:space="preserve"> </w:t>
      </w:r>
      <w:r w:rsidRPr="0069784D">
        <w:rPr>
          <w:i/>
          <w:iCs/>
          <w:lang w:val="nl-BE"/>
        </w:rPr>
        <w:t>Het gaat om misbruik van prostitutie zonder het oogmerk om controle te verwerven op de persoon, maar wel met het oogmerk om zich te verrijken of om enig voordeel van een andere aard te verkrijgen.</w:t>
      </w:r>
      <w:r w:rsidRPr="0069784D">
        <w:rPr>
          <w:lang w:val="nl-BE"/>
        </w:rPr>
        <w:t>” (</w:t>
      </w:r>
      <w:r w:rsidR="00F1720A" w:rsidRPr="0069784D">
        <w:rPr>
          <w:lang w:val="nl-BE"/>
        </w:rPr>
        <w:t xml:space="preserve">cf. </w:t>
      </w:r>
      <w:r w:rsidRPr="0069784D">
        <w:rPr>
          <w:lang w:val="nl-BE"/>
        </w:rPr>
        <w:t>DOC 55 2141/001)</w:t>
      </w:r>
      <w:r w:rsidR="00F1720A" w:rsidRPr="0069784D">
        <w:rPr>
          <w:lang w:val="nl-BE"/>
        </w:rPr>
        <w:t>.</w:t>
      </w:r>
    </w:p>
    <w:p w14:paraId="05B127F7" w14:textId="32B1C64C" w:rsidR="00DD4815" w:rsidRPr="0069784D" w:rsidRDefault="00DD4815" w:rsidP="009C15CF">
      <w:pPr>
        <w:jc w:val="both"/>
        <w:rPr>
          <w:lang w:val="nl-BE"/>
        </w:rPr>
      </w:pPr>
      <w:r w:rsidRPr="0069784D">
        <w:rPr>
          <w:lang w:val="nl-BE"/>
        </w:rPr>
        <w:t xml:space="preserve">De straf werd niet gewijzigd. Zowel in het vroegere artikel 380 van het Strafwetboek als in het nieuwe artikel 433quater/4 </w:t>
      </w:r>
      <w:r w:rsidR="00F1720A" w:rsidRPr="0069784D">
        <w:rPr>
          <w:lang w:val="nl-BE"/>
        </w:rPr>
        <w:t xml:space="preserve">wordt </w:t>
      </w:r>
      <w:r w:rsidRPr="0069784D">
        <w:rPr>
          <w:lang w:val="nl-BE"/>
        </w:rPr>
        <w:t xml:space="preserve">opsluiting van tien tot vijftien jaar </w:t>
      </w:r>
      <w:r w:rsidR="00C500D2">
        <w:rPr>
          <w:lang w:val="nl-BE"/>
        </w:rPr>
        <w:t>voorzien</w:t>
      </w:r>
      <w:r w:rsidRPr="0069784D">
        <w:rPr>
          <w:lang w:val="nl-BE"/>
        </w:rPr>
        <w:t xml:space="preserve">. </w:t>
      </w:r>
      <w:r w:rsidR="00F1720A" w:rsidRPr="0069784D">
        <w:rPr>
          <w:lang w:val="nl-BE"/>
        </w:rPr>
        <w:t>Het</w:t>
      </w:r>
      <w:r w:rsidRPr="0069784D">
        <w:rPr>
          <w:lang w:val="nl-BE"/>
        </w:rPr>
        <w:t xml:space="preserve"> bedrag van de </w:t>
      </w:r>
      <w:r w:rsidR="00F1720A" w:rsidRPr="0069784D">
        <w:rPr>
          <w:lang w:val="nl-BE"/>
        </w:rPr>
        <w:t>eventuele geldboete werd evenmin</w:t>
      </w:r>
      <w:r w:rsidRPr="0069784D">
        <w:rPr>
          <w:lang w:val="nl-BE"/>
        </w:rPr>
        <w:t xml:space="preserve"> gewijzigd.</w:t>
      </w:r>
    </w:p>
    <w:p w14:paraId="7856F4C9" w14:textId="655A1E20" w:rsidR="00DD4815" w:rsidRDefault="00DD4815" w:rsidP="009C15CF">
      <w:pPr>
        <w:jc w:val="both"/>
        <w:rPr>
          <w:lang w:val="nl-BE"/>
        </w:rPr>
      </w:pPr>
    </w:p>
    <w:p w14:paraId="4D42A311" w14:textId="77777777" w:rsidR="004D3C84" w:rsidRPr="0069784D" w:rsidRDefault="004D3C84" w:rsidP="009C15CF">
      <w:pPr>
        <w:jc w:val="both"/>
        <w:rPr>
          <w:lang w:val="nl-BE"/>
        </w:rPr>
      </w:pPr>
    </w:p>
    <w:p w14:paraId="3AF9BCDB" w14:textId="43471CC3" w:rsidR="00DD4815" w:rsidRPr="0069784D" w:rsidRDefault="00DD4815" w:rsidP="009C15CF">
      <w:pPr>
        <w:pStyle w:val="Heading3"/>
        <w:jc w:val="both"/>
        <w:rPr>
          <w:rFonts w:asciiTheme="minorHAnsi" w:hAnsiTheme="minorHAnsi" w:cstheme="minorHAnsi"/>
          <w:color w:val="auto"/>
          <w:sz w:val="28"/>
          <w:szCs w:val="28"/>
          <w:lang w:val="nl-BE"/>
        </w:rPr>
      </w:pPr>
      <w:bookmarkStart w:id="50" w:name="_Toc104923498"/>
      <w:r w:rsidRPr="0069784D">
        <w:rPr>
          <w:rFonts w:asciiTheme="minorHAnsi" w:hAnsiTheme="minorHAnsi"/>
          <w:color w:val="auto"/>
          <w:sz w:val="28"/>
          <w:lang w:val="nl-BE"/>
        </w:rPr>
        <w:lastRenderedPageBreak/>
        <w:t>Artikel 433quater/5</w:t>
      </w:r>
      <w:r w:rsidR="00F1720A" w:rsidRPr="0069784D">
        <w:rPr>
          <w:rFonts w:asciiTheme="minorHAnsi" w:hAnsiTheme="minorHAnsi"/>
          <w:color w:val="auto"/>
          <w:sz w:val="28"/>
          <w:lang w:val="nl-BE"/>
        </w:rPr>
        <w:t xml:space="preserve"> - </w:t>
      </w:r>
      <w:r w:rsidRPr="0069784D">
        <w:rPr>
          <w:rFonts w:asciiTheme="minorHAnsi" w:hAnsiTheme="minorHAnsi"/>
          <w:color w:val="auto"/>
          <w:sz w:val="28"/>
          <w:lang w:val="nl-BE"/>
        </w:rPr>
        <w:t>Sluiting van een inrichting</w:t>
      </w:r>
      <w:bookmarkEnd w:id="50"/>
      <w:r w:rsidRPr="0069784D">
        <w:rPr>
          <w:rFonts w:asciiTheme="minorHAnsi" w:hAnsiTheme="minorHAnsi"/>
          <w:color w:val="auto"/>
          <w:sz w:val="28"/>
          <w:lang w:val="nl-BE"/>
        </w:rPr>
        <w:t xml:space="preserve">  </w:t>
      </w:r>
    </w:p>
    <w:p w14:paraId="19CEDE86" w14:textId="77777777" w:rsidR="00DD4815" w:rsidRPr="0069784D" w:rsidRDefault="00DD4815" w:rsidP="009C15CF">
      <w:pPr>
        <w:jc w:val="both"/>
        <w:rPr>
          <w:lang w:val="nl-BE"/>
        </w:rPr>
      </w:pPr>
    </w:p>
    <w:p w14:paraId="303B80AA" w14:textId="65B161AC" w:rsidR="00DD4815" w:rsidRPr="0069784D" w:rsidRDefault="00DD4815" w:rsidP="009C15CF">
      <w:pPr>
        <w:jc w:val="both"/>
        <w:rPr>
          <w:lang w:val="nl-BE"/>
        </w:rPr>
      </w:pPr>
      <w:r w:rsidRPr="0069784D">
        <w:rPr>
          <w:lang w:val="nl-BE"/>
        </w:rPr>
        <w:t xml:space="preserve">Artikel 433quater/5 </w:t>
      </w:r>
      <w:r w:rsidR="00F1720A" w:rsidRPr="0069784D">
        <w:rPr>
          <w:lang w:val="nl-BE"/>
        </w:rPr>
        <w:t>omvat</w:t>
      </w:r>
      <w:r w:rsidRPr="0069784D">
        <w:rPr>
          <w:lang w:val="nl-BE"/>
        </w:rPr>
        <w:t xml:space="preserve"> dezelfde bepalingen als artikel 417/57. </w:t>
      </w:r>
      <w:r w:rsidR="00F1720A" w:rsidRPr="0069784D">
        <w:rPr>
          <w:lang w:val="nl-BE"/>
        </w:rPr>
        <w:t xml:space="preserve">Er kan dus worden </w:t>
      </w:r>
      <w:r w:rsidRPr="0069784D">
        <w:rPr>
          <w:lang w:val="nl-BE"/>
        </w:rPr>
        <w:t xml:space="preserve">verwezen naar de </w:t>
      </w:r>
      <w:r w:rsidR="00F1720A" w:rsidRPr="0069784D">
        <w:rPr>
          <w:lang w:val="nl-BE"/>
        </w:rPr>
        <w:t>analyse van</w:t>
      </w:r>
      <w:r w:rsidRPr="0069784D">
        <w:rPr>
          <w:lang w:val="nl-BE"/>
        </w:rPr>
        <w:t xml:space="preserve"> dit artikel.</w:t>
      </w:r>
    </w:p>
    <w:p w14:paraId="60FCE5DD" w14:textId="77777777" w:rsidR="00FA076F" w:rsidRPr="0069784D" w:rsidRDefault="00FA076F" w:rsidP="009C15CF">
      <w:pPr>
        <w:jc w:val="both"/>
        <w:rPr>
          <w:lang w:val="nl-BE"/>
        </w:rPr>
      </w:pPr>
    </w:p>
    <w:p w14:paraId="75C3C642" w14:textId="23D5A99A" w:rsidR="00DD4815" w:rsidRPr="0069784D" w:rsidRDefault="00DD4815" w:rsidP="009C15CF">
      <w:pPr>
        <w:pStyle w:val="Heading3"/>
        <w:jc w:val="both"/>
        <w:rPr>
          <w:rFonts w:asciiTheme="minorHAnsi" w:hAnsiTheme="minorHAnsi"/>
          <w:color w:val="auto"/>
          <w:sz w:val="28"/>
          <w:lang w:val="nl-BE"/>
        </w:rPr>
      </w:pPr>
      <w:bookmarkStart w:id="51" w:name="_Toc104923499"/>
      <w:r w:rsidRPr="0069784D">
        <w:rPr>
          <w:rFonts w:asciiTheme="minorHAnsi" w:hAnsiTheme="minorHAnsi"/>
          <w:color w:val="auto"/>
          <w:sz w:val="28"/>
          <w:lang w:val="nl-BE"/>
        </w:rPr>
        <w:t>Artikel 433quater/</w:t>
      </w:r>
      <w:r w:rsidR="003E069C">
        <w:rPr>
          <w:rFonts w:asciiTheme="minorHAnsi" w:hAnsiTheme="minorHAnsi"/>
          <w:color w:val="auto"/>
          <w:sz w:val="28"/>
          <w:lang w:val="nl-BE"/>
        </w:rPr>
        <w:t>6</w:t>
      </w:r>
      <w:r w:rsidR="00F1720A" w:rsidRPr="0069784D">
        <w:rPr>
          <w:rFonts w:asciiTheme="minorHAnsi" w:hAnsiTheme="minorHAnsi"/>
          <w:color w:val="auto"/>
          <w:sz w:val="28"/>
          <w:lang w:val="nl-BE"/>
        </w:rPr>
        <w:t xml:space="preserve">- </w:t>
      </w:r>
      <w:r w:rsidRPr="0069784D">
        <w:rPr>
          <w:rFonts w:asciiTheme="minorHAnsi" w:hAnsiTheme="minorHAnsi"/>
          <w:color w:val="auto"/>
          <w:sz w:val="28"/>
          <w:lang w:val="nl-BE"/>
        </w:rPr>
        <w:t>Specifieke verbodsbepalingen</w:t>
      </w:r>
      <w:bookmarkEnd w:id="51"/>
      <w:r w:rsidRPr="0069784D">
        <w:rPr>
          <w:rFonts w:asciiTheme="minorHAnsi" w:hAnsiTheme="minorHAnsi"/>
          <w:color w:val="auto"/>
          <w:sz w:val="28"/>
          <w:lang w:val="nl-BE"/>
        </w:rPr>
        <w:t xml:space="preserve">  </w:t>
      </w:r>
    </w:p>
    <w:p w14:paraId="72EEB761" w14:textId="77777777" w:rsidR="00F1720A" w:rsidRPr="0069784D" w:rsidRDefault="00F1720A" w:rsidP="009C15CF">
      <w:pPr>
        <w:rPr>
          <w:lang w:val="nl-BE"/>
        </w:rPr>
      </w:pPr>
    </w:p>
    <w:p w14:paraId="7299BD45" w14:textId="5898EE0E" w:rsidR="00DD4815" w:rsidRPr="0069784D" w:rsidRDefault="00DD4815" w:rsidP="009C15CF">
      <w:pPr>
        <w:jc w:val="both"/>
        <w:rPr>
          <w:bCs/>
          <w:lang w:val="nl-BE"/>
        </w:rPr>
      </w:pPr>
      <w:r w:rsidRPr="0069784D">
        <w:rPr>
          <w:lang w:val="nl-BE"/>
        </w:rPr>
        <w:t>Het nieuwe artikel 433quater/8 vervangt het vroegere artikel 382, §1 e</w:t>
      </w:r>
      <w:r w:rsidR="00F1720A" w:rsidRPr="0069784D">
        <w:rPr>
          <w:lang w:val="nl-BE"/>
        </w:rPr>
        <w:t>n</w:t>
      </w:r>
      <w:r w:rsidRPr="0069784D">
        <w:rPr>
          <w:lang w:val="nl-BE"/>
        </w:rPr>
        <w:t xml:space="preserve"> §2 van het Strafwetboek. </w:t>
      </w:r>
    </w:p>
    <w:tbl>
      <w:tblPr>
        <w:tblStyle w:val="TableGrid"/>
        <w:tblW w:w="0" w:type="auto"/>
        <w:tblLook w:val="04A0" w:firstRow="1" w:lastRow="0" w:firstColumn="1" w:lastColumn="0" w:noHBand="0" w:noVBand="1"/>
      </w:tblPr>
      <w:tblGrid>
        <w:gridCol w:w="4508"/>
        <w:gridCol w:w="4508"/>
      </w:tblGrid>
      <w:tr w:rsidR="00DD4815" w:rsidRPr="0069784D" w14:paraId="0B23BDCD" w14:textId="77777777" w:rsidTr="00957384">
        <w:tc>
          <w:tcPr>
            <w:tcW w:w="4508" w:type="dxa"/>
            <w:tcBorders>
              <w:top w:val="single" w:sz="4" w:space="0" w:color="auto"/>
              <w:left w:val="single" w:sz="4" w:space="0" w:color="auto"/>
              <w:bottom w:val="single" w:sz="4" w:space="0" w:color="auto"/>
              <w:right w:val="single" w:sz="4" w:space="0" w:color="auto"/>
            </w:tcBorders>
            <w:hideMark/>
          </w:tcPr>
          <w:p w14:paraId="0EFF0478" w14:textId="1B190C1D" w:rsidR="00FA076F" w:rsidRPr="0069784D" w:rsidRDefault="00C500D2" w:rsidP="009C15CF">
            <w:pPr>
              <w:jc w:val="both"/>
              <w:rPr>
                <w:bCs/>
                <w:lang w:val="nl-BE"/>
              </w:rPr>
            </w:pPr>
            <w:r w:rsidRPr="00652F3F">
              <w:rPr>
                <w:lang w:val="nl-BE"/>
              </w:rPr>
              <w:t>V</w:t>
            </w:r>
            <w:r>
              <w:rPr>
                <w:lang w:val="nl-BE"/>
              </w:rPr>
              <w:t>roegere bepaling</w:t>
            </w:r>
            <w:r w:rsidRPr="0069784D">
              <w:rPr>
                <w:lang w:val="nl-BE"/>
              </w:rPr>
              <w:t xml:space="preserve"> </w:t>
            </w:r>
            <w:r w:rsidR="00DD4815" w:rsidRPr="0069784D">
              <w:rPr>
                <w:lang w:val="nl-BE"/>
              </w:rPr>
              <w:t>382, §1 e</w:t>
            </w:r>
            <w:r w:rsidR="00F1720A" w:rsidRPr="0069784D">
              <w:rPr>
                <w:lang w:val="nl-BE"/>
              </w:rPr>
              <w:t>n</w:t>
            </w:r>
            <w:r w:rsidR="00DD4815" w:rsidRPr="0069784D">
              <w:rPr>
                <w:lang w:val="nl-BE"/>
              </w:rPr>
              <w:t xml:space="preserve"> §2 </w:t>
            </w:r>
          </w:p>
        </w:tc>
        <w:tc>
          <w:tcPr>
            <w:tcW w:w="4508" w:type="dxa"/>
            <w:tcBorders>
              <w:top w:val="single" w:sz="4" w:space="0" w:color="auto"/>
              <w:left w:val="single" w:sz="4" w:space="0" w:color="auto"/>
              <w:bottom w:val="single" w:sz="4" w:space="0" w:color="auto"/>
              <w:right w:val="single" w:sz="4" w:space="0" w:color="auto"/>
            </w:tcBorders>
            <w:hideMark/>
          </w:tcPr>
          <w:p w14:paraId="685B2192" w14:textId="2738AB0C" w:rsidR="00DD4815" w:rsidRPr="0069784D" w:rsidRDefault="00DD4815" w:rsidP="009C15CF">
            <w:pPr>
              <w:jc w:val="both"/>
              <w:rPr>
                <w:bCs/>
              </w:rPr>
            </w:pPr>
            <w:r w:rsidRPr="0069784D">
              <w:t>Nieuw</w:t>
            </w:r>
            <w:r w:rsidR="00C500D2">
              <w:t>e</w:t>
            </w:r>
            <w:r w:rsidRPr="0069784D">
              <w:t xml:space="preserve"> </w:t>
            </w:r>
            <w:r w:rsidR="00C500D2">
              <w:t>bepaling 433quater/6</w:t>
            </w:r>
          </w:p>
        </w:tc>
      </w:tr>
      <w:tr w:rsidR="00DD4815" w:rsidRPr="001C6BF9" w14:paraId="655A6820" w14:textId="77777777" w:rsidTr="00957384">
        <w:tc>
          <w:tcPr>
            <w:tcW w:w="4508" w:type="dxa"/>
            <w:tcBorders>
              <w:top w:val="single" w:sz="4" w:space="0" w:color="auto"/>
              <w:left w:val="single" w:sz="4" w:space="0" w:color="auto"/>
              <w:bottom w:val="single" w:sz="4" w:space="0" w:color="auto"/>
              <w:right w:val="single" w:sz="4" w:space="0" w:color="auto"/>
            </w:tcBorders>
          </w:tcPr>
          <w:p w14:paraId="75351A31" w14:textId="20095294" w:rsidR="00DD4815" w:rsidRPr="0069784D" w:rsidRDefault="00DD4815" w:rsidP="009C15CF">
            <w:pPr>
              <w:jc w:val="both"/>
              <w:rPr>
                <w:lang w:val="nl-BE"/>
              </w:rPr>
            </w:pPr>
            <w:r w:rsidRPr="0069784D">
              <w:rPr>
                <w:i/>
                <w:iCs/>
                <w:lang w:val="nl-BE"/>
              </w:rPr>
              <w:t>§1.</w:t>
            </w:r>
            <w:r w:rsidRPr="0069784D">
              <w:rPr>
                <w:lang w:val="nl-BE"/>
              </w:rPr>
              <w:t xml:space="preserve"> </w:t>
            </w:r>
            <w:r w:rsidRPr="0069784D">
              <w:rPr>
                <w:i/>
                <w:iCs/>
                <w:lang w:val="nl-BE"/>
              </w:rPr>
              <w:t>In de gevallen bedoeld in de artikelen 379 en 380 worden de schuldigen bovendien veroordeeld tot ontzetting van de rechten genoemd in [</w:t>
            </w:r>
            <w:hyperlink r:id="rId18" w:anchor="t" w:tooltip="&lt;L 2009-04-14/01, art. 17, 073; En vigueur : 15-04-2009&gt;" w:history="1">
              <w:r w:rsidRPr="0069784D">
                <w:rPr>
                  <w:rStyle w:val="Hyperlink"/>
                  <w:color w:val="auto"/>
                  <w:vertAlign w:val="superscript"/>
                  <w:lang w:val="nl-BE"/>
                </w:rPr>
                <w:t>1</w:t>
              </w:r>
            </w:hyperlink>
            <w:r w:rsidRPr="0069784D">
              <w:rPr>
                <w:i/>
                <w:iCs/>
                <w:lang w:val="nl-BE"/>
              </w:rPr>
              <w:t>artikel 31, eerste lid]</w:t>
            </w:r>
            <w:hyperlink r:id="rId19" w:anchor="t" w:tooltip="&lt;L 2009-04-14/01, art. 17, 073; En vigueur : 15-04-2009&gt;" w:history="1">
              <w:r w:rsidRPr="0069784D">
                <w:rPr>
                  <w:rStyle w:val="Hyperlink"/>
                  <w:i/>
                  <w:iCs/>
                  <w:color w:val="auto"/>
                  <w:vertAlign w:val="superscript"/>
                  <w:lang w:val="nl-BE"/>
                </w:rPr>
                <w:t>1</w:t>
              </w:r>
            </w:hyperlink>
            <w:r w:rsidRPr="0069784D">
              <w:rPr>
                <w:i/>
                <w:iCs/>
                <w:lang w:val="nl-BE"/>
              </w:rPr>
              <w:t>.</w:t>
            </w:r>
          </w:p>
          <w:p w14:paraId="3875F373" w14:textId="77777777" w:rsidR="00FA076F" w:rsidRPr="0069784D" w:rsidRDefault="00FA076F" w:rsidP="009C15CF">
            <w:pPr>
              <w:jc w:val="both"/>
              <w:rPr>
                <w:i/>
                <w:iCs/>
                <w:lang w:val="nl-BE"/>
              </w:rPr>
            </w:pPr>
          </w:p>
          <w:p w14:paraId="113AB6E6" w14:textId="07B4A6F7" w:rsidR="00DD4815" w:rsidRPr="0069784D" w:rsidRDefault="00DD4815" w:rsidP="009C15CF">
            <w:pPr>
              <w:jc w:val="both"/>
              <w:rPr>
                <w:lang w:val="nl-BE"/>
              </w:rPr>
            </w:pPr>
            <w:r w:rsidRPr="0069784D">
              <w:rPr>
                <w:i/>
                <w:iCs/>
                <w:lang w:val="nl-BE"/>
              </w:rPr>
              <w:t>§ 2.</w:t>
            </w:r>
            <w:r w:rsidRPr="0069784D">
              <w:rPr>
                <w:lang w:val="nl-BE"/>
              </w:rPr>
              <w:t xml:space="preserve"> </w:t>
            </w:r>
            <w:r w:rsidRPr="0069784D">
              <w:rPr>
                <w:i/>
                <w:iCs/>
                <w:lang w:val="nl-BE"/>
              </w:rPr>
              <w:t>De rechtbanken kunnen tegen de personen die wegens een misdrijf bepaald bij artikel 380, §§ 1 tot 3, veroordeeld worden, het verbod uitspreken om gedurende een jaar tot drie jaar een drankgelegenheid, een bureau voor arbeidsbemiddeling, een onderneming van vertoningen, een zaak voor verhuur of verkoop van visuele dragers, een hotel, een bureau voor verhuur van gemeubileerde kamers of appartementen, een reisbureau, een huwelijksbureau, een adoptie</w:t>
            </w:r>
            <w:r w:rsidR="003F2A8D" w:rsidRPr="0069784D">
              <w:rPr>
                <w:i/>
                <w:iCs/>
                <w:lang w:val="nl-BE"/>
              </w:rPr>
              <w:t>-</w:t>
            </w:r>
            <w:r w:rsidRPr="0069784D">
              <w:rPr>
                <w:i/>
                <w:iCs/>
                <w:lang w:val="nl-BE"/>
              </w:rPr>
              <w:t>instelling, een instelling waaraan de bewaring van minderjarigen wordt toevertrouwd, een bedrijf dat leerlingen en jeugdgroepen vervoert, een gelegenheid voor ontspanning of vakantie, of een inrichting die lichaamsverzorging of psychologische begeleiding aanbiedt, hetzij persoonlijk, hetzij door bemiddeling van een tussenpersoon, uit te baten of er, in welke hoedanigheid ook, werkzaam te zijn.</w:t>
            </w:r>
          </w:p>
          <w:p w14:paraId="506569C9" w14:textId="77777777" w:rsidR="003F2A8D" w:rsidRPr="0069784D" w:rsidRDefault="003F2A8D" w:rsidP="009C15CF">
            <w:pPr>
              <w:jc w:val="both"/>
              <w:rPr>
                <w:lang w:val="nl-BE"/>
              </w:rPr>
            </w:pPr>
          </w:p>
          <w:p w14:paraId="14875B04" w14:textId="310603DA" w:rsidR="00DD4815" w:rsidRPr="0069784D" w:rsidRDefault="00DD4815" w:rsidP="009C15CF">
            <w:pPr>
              <w:jc w:val="both"/>
              <w:rPr>
                <w:lang w:val="nl-BE"/>
              </w:rPr>
            </w:pPr>
            <w:r w:rsidRPr="0069784D">
              <w:rPr>
                <w:i/>
                <w:iCs/>
                <w:lang w:val="nl-BE"/>
              </w:rPr>
              <w:t>In geval van een tweede veroordeling wegens een misdrijf bepaald in artikel 380, §§ 1 tot 3, kan het verbod voor een termijn van een jaar tot twintig jaar worden uitgesproken.</w:t>
            </w:r>
          </w:p>
          <w:p w14:paraId="27BB6A8B" w14:textId="77777777" w:rsidR="00DD4815" w:rsidRPr="0069784D" w:rsidRDefault="00DD4815" w:rsidP="009C15CF">
            <w:pPr>
              <w:jc w:val="both"/>
              <w:rPr>
                <w:lang w:val="nl-BE"/>
              </w:rPr>
            </w:pPr>
          </w:p>
          <w:p w14:paraId="5BF311EA" w14:textId="0A7A4457" w:rsidR="00DD4815" w:rsidRPr="0069784D" w:rsidRDefault="00DD4815" w:rsidP="009C15CF">
            <w:pPr>
              <w:jc w:val="both"/>
              <w:rPr>
                <w:lang w:val="nl-BE"/>
              </w:rPr>
            </w:pPr>
            <w:r w:rsidRPr="0069784D">
              <w:rPr>
                <w:lang w:val="nl-BE"/>
              </w:rPr>
              <w:t>In artikel 389</w:t>
            </w:r>
            <w:r w:rsidR="003F2A8D" w:rsidRPr="0069784D">
              <w:rPr>
                <w:lang w:val="nl-BE"/>
              </w:rPr>
              <w:t>, § 2</w:t>
            </w:r>
            <w:r w:rsidRPr="0069784D">
              <w:rPr>
                <w:lang w:val="nl-BE"/>
              </w:rPr>
              <w:t xml:space="preserve"> van het Strafwetboek wordt vermeld dat het verbod ingaat vanaf “</w:t>
            </w:r>
            <w:r w:rsidRPr="0069784D">
              <w:rPr>
                <w:i/>
                <w:iCs/>
                <w:lang w:val="nl-BE"/>
              </w:rPr>
              <w:t xml:space="preserve">de dag waarop de op tegenspraak of bij verstrek </w:t>
            </w:r>
            <w:r w:rsidRPr="0069784D">
              <w:rPr>
                <w:i/>
                <w:iCs/>
                <w:lang w:val="nl-BE"/>
              </w:rPr>
              <w:lastRenderedPageBreak/>
              <w:t>gewezen veroordeling onherroepelijk is geworden.</w:t>
            </w:r>
            <w:r w:rsidRPr="0069784D">
              <w:rPr>
                <w:lang w:val="nl-BE"/>
              </w:rPr>
              <w:t>”</w:t>
            </w:r>
          </w:p>
        </w:tc>
        <w:tc>
          <w:tcPr>
            <w:tcW w:w="4508" w:type="dxa"/>
            <w:tcBorders>
              <w:top w:val="single" w:sz="4" w:space="0" w:color="auto"/>
              <w:left w:val="single" w:sz="4" w:space="0" w:color="auto"/>
              <w:bottom w:val="single" w:sz="4" w:space="0" w:color="auto"/>
              <w:right w:val="single" w:sz="4" w:space="0" w:color="auto"/>
            </w:tcBorders>
          </w:tcPr>
          <w:p w14:paraId="1703196C" w14:textId="643F3E8D" w:rsidR="00DD4815" w:rsidRPr="0069784D" w:rsidRDefault="00DD4815" w:rsidP="009C15CF">
            <w:pPr>
              <w:jc w:val="both"/>
              <w:rPr>
                <w:i/>
                <w:iCs/>
                <w:lang w:val="nl-BE"/>
              </w:rPr>
            </w:pPr>
            <w:r w:rsidRPr="0069784D">
              <w:rPr>
                <w:i/>
                <w:iCs/>
                <w:lang w:val="nl-BE"/>
              </w:rPr>
              <w:lastRenderedPageBreak/>
              <w:t xml:space="preserve">§ 1. </w:t>
            </w:r>
            <w:r w:rsidR="00C500D2" w:rsidRPr="00C500D2">
              <w:rPr>
                <w:i/>
                <w:lang w:val="nl-BE"/>
              </w:rPr>
              <w:t>In de gevallen bedoeld in dit hoofdstuk worden de schuldigen veroordeeld tot de ontzetting van de rechten bedoeld in artikel 31, eerste lid</w:t>
            </w:r>
            <w:r w:rsidRPr="0069784D">
              <w:rPr>
                <w:i/>
                <w:iCs/>
                <w:lang w:val="nl-BE"/>
              </w:rPr>
              <w:t>.  </w:t>
            </w:r>
          </w:p>
          <w:p w14:paraId="6CF30EC9" w14:textId="77777777" w:rsidR="00DD4815" w:rsidRPr="0069784D" w:rsidRDefault="00DD4815" w:rsidP="009C15CF">
            <w:pPr>
              <w:jc w:val="both"/>
              <w:rPr>
                <w:lang w:val="nl-BE"/>
              </w:rPr>
            </w:pPr>
          </w:p>
          <w:p w14:paraId="438B2AF5" w14:textId="43A4616E" w:rsidR="00DD4815" w:rsidRPr="0069784D" w:rsidRDefault="00DD4815" w:rsidP="009C15CF">
            <w:pPr>
              <w:jc w:val="both"/>
              <w:rPr>
                <w:lang w:val="nl-BE"/>
              </w:rPr>
            </w:pPr>
            <w:r w:rsidRPr="00C500D2">
              <w:rPr>
                <w:i/>
                <w:lang w:val="nl-BE"/>
              </w:rPr>
              <w:t xml:space="preserve">§ 2. </w:t>
            </w:r>
            <w:r w:rsidR="00C500D2" w:rsidRPr="00C500D2">
              <w:rPr>
                <w:i/>
                <w:lang w:val="nl-BE"/>
              </w:rPr>
              <w:t>Onverminderd andere wettelijke bepalingen, kan de rechter in de in dit hoofdstuk bedoelde gevallen de veroordeelde voor de duur van een jaar tot twintig jaar verbieden een drankgelegenheid, een bureau voor arbeidsbemiddeling, een onderneming van vertoningen, een zaak voor verhuur of verkoop van visuele dragers, een hotel, een bureau voor verhuur van gemeubileerde kamers of appartementen, een reisbureau, een huwelijksbureau, een adoptie-instelling, een instelling waaraan de bewaring van minderjarigen wordt toevertrouwd, een bedrijf dat leerlingen en jeugdgroepen vervoert, een gelegenheid voor ontspanning of vakantie, of elke inrichting die lichaamsverzorging of psychologische begeleiding aanbiedt, hetzij persoonlijk, hetzij door bemiddeling van een tussenpersoon, uit te baten of er, in welke hoedanigheid ook, werkzaam te zijn</w:t>
            </w:r>
            <w:r w:rsidRPr="00C500D2">
              <w:rPr>
                <w:i/>
                <w:iCs/>
                <w:lang w:val="nl-BE"/>
              </w:rPr>
              <w:t>.</w:t>
            </w:r>
            <w:r w:rsidRPr="0069784D">
              <w:rPr>
                <w:lang w:val="nl-BE"/>
              </w:rPr>
              <w:t>  </w:t>
            </w:r>
          </w:p>
          <w:p w14:paraId="4CFBCF3F" w14:textId="77777777" w:rsidR="00DD4815" w:rsidRPr="0069784D" w:rsidRDefault="00DD4815" w:rsidP="009C15CF">
            <w:pPr>
              <w:jc w:val="both"/>
              <w:rPr>
                <w:lang w:val="nl-BE"/>
              </w:rPr>
            </w:pPr>
          </w:p>
          <w:p w14:paraId="734A8058" w14:textId="77777777" w:rsidR="00DD4815" w:rsidRPr="0069784D" w:rsidRDefault="00DD4815" w:rsidP="009C15CF">
            <w:pPr>
              <w:jc w:val="both"/>
              <w:rPr>
                <w:lang w:val="nl-BE"/>
              </w:rPr>
            </w:pPr>
          </w:p>
          <w:p w14:paraId="0C2AB5B8" w14:textId="77777777" w:rsidR="00DD4815" w:rsidRPr="0069784D" w:rsidRDefault="00DD4815" w:rsidP="009C15CF">
            <w:pPr>
              <w:jc w:val="both"/>
              <w:rPr>
                <w:lang w:val="nl-BE"/>
              </w:rPr>
            </w:pPr>
          </w:p>
          <w:p w14:paraId="5D8A1029" w14:textId="77777777" w:rsidR="00DD4815" w:rsidRPr="0069784D" w:rsidRDefault="00DD4815" w:rsidP="009C15CF">
            <w:pPr>
              <w:jc w:val="both"/>
              <w:rPr>
                <w:lang w:val="nl-BE"/>
              </w:rPr>
            </w:pPr>
          </w:p>
          <w:p w14:paraId="149AD734" w14:textId="6685DF3B" w:rsidR="00DD4815" w:rsidRPr="0069784D" w:rsidRDefault="00DD4815" w:rsidP="009C15CF">
            <w:pPr>
              <w:jc w:val="both"/>
              <w:rPr>
                <w:lang w:val="nl-BE"/>
              </w:rPr>
            </w:pPr>
          </w:p>
          <w:p w14:paraId="38D1BB51" w14:textId="610BE6F1" w:rsidR="003F2A8D" w:rsidRPr="0069784D" w:rsidRDefault="003F2A8D" w:rsidP="009C15CF">
            <w:pPr>
              <w:jc w:val="both"/>
              <w:rPr>
                <w:lang w:val="nl-BE"/>
              </w:rPr>
            </w:pPr>
          </w:p>
          <w:p w14:paraId="20A7A78F" w14:textId="5AD3E407" w:rsidR="003F2A8D" w:rsidRPr="0069784D" w:rsidRDefault="003F2A8D" w:rsidP="009C15CF">
            <w:pPr>
              <w:jc w:val="both"/>
              <w:rPr>
                <w:lang w:val="nl-BE"/>
              </w:rPr>
            </w:pPr>
          </w:p>
          <w:p w14:paraId="0DDFBA89" w14:textId="77777777" w:rsidR="003F2A8D" w:rsidRPr="0069784D" w:rsidRDefault="003F2A8D" w:rsidP="009C15CF">
            <w:pPr>
              <w:jc w:val="both"/>
              <w:rPr>
                <w:lang w:val="nl-BE"/>
              </w:rPr>
            </w:pPr>
          </w:p>
          <w:p w14:paraId="133EA55C" w14:textId="4BB9DEDF" w:rsidR="00DD4815" w:rsidRPr="0069784D" w:rsidRDefault="00DD4815" w:rsidP="009C15CF">
            <w:pPr>
              <w:jc w:val="both"/>
              <w:rPr>
                <w:lang w:val="nl-BE"/>
              </w:rPr>
            </w:pPr>
            <w:r w:rsidRPr="0069784D">
              <w:rPr>
                <w:i/>
                <w:iCs/>
                <w:lang w:val="nl-BE"/>
              </w:rPr>
              <w:t xml:space="preserve">§ </w:t>
            </w:r>
            <w:r w:rsidRPr="00C500D2">
              <w:rPr>
                <w:i/>
                <w:iCs/>
                <w:lang w:val="nl-BE"/>
              </w:rPr>
              <w:t>3</w:t>
            </w:r>
            <w:r w:rsidR="00C500D2">
              <w:rPr>
                <w:i/>
                <w:iCs/>
                <w:lang w:val="nl-BE"/>
              </w:rPr>
              <w:t xml:space="preserve"> </w:t>
            </w:r>
            <w:r w:rsidR="00C500D2" w:rsidRPr="00C500D2">
              <w:rPr>
                <w:i/>
                <w:lang w:val="nl-BE"/>
              </w:rPr>
              <w:t xml:space="preserve">De in dit artikel bedoelde verboden gaan in op de dag waarop de veroordeling in kracht van </w:t>
            </w:r>
            <w:r w:rsidR="00C500D2" w:rsidRPr="00C500D2">
              <w:rPr>
                <w:i/>
                <w:lang w:val="nl-BE"/>
              </w:rPr>
              <w:lastRenderedPageBreak/>
              <w:t>gewijsde is getreden. De termijn wordt evenwel verlengd met de duur van de periode waarin de gevangenisstraf of de opsluiting wordt uitgevoerd, met uitzondering van de termijn voor vervroegde invrijheidstelling.</w:t>
            </w:r>
          </w:p>
        </w:tc>
      </w:tr>
    </w:tbl>
    <w:p w14:paraId="58598C2F" w14:textId="77777777" w:rsidR="00DD4815" w:rsidRPr="0069784D" w:rsidRDefault="00DD4815" w:rsidP="009C15CF">
      <w:pPr>
        <w:jc w:val="both"/>
        <w:rPr>
          <w:b/>
          <w:lang w:val="nl-BE"/>
        </w:rPr>
      </w:pPr>
    </w:p>
    <w:p w14:paraId="7E63CAE0" w14:textId="2A52B850" w:rsidR="00DD4815" w:rsidRPr="0069784D" w:rsidRDefault="00DD4815" w:rsidP="009C15CF">
      <w:pPr>
        <w:jc w:val="both"/>
        <w:rPr>
          <w:lang w:val="nl-BE"/>
        </w:rPr>
      </w:pPr>
      <w:r w:rsidRPr="0069784D">
        <w:rPr>
          <w:lang w:val="nl-BE"/>
        </w:rPr>
        <w:t>I</w:t>
      </w:r>
      <w:r w:rsidR="00C500D2">
        <w:rPr>
          <w:lang w:val="nl-BE"/>
        </w:rPr>
        <w:t>n het nieuwe artikel 433quater/6</w:t>
      </w:r>
      <w:r w:rsidRPr="0069784D">
        <w:rPr>
          <w:lang w:val="nl-BE"/>
        </w:rPr>
        <w:t xml:space="preserve"> </w:t>
      </w:r>
      <w:r w:rsidR="009558F6" w:rsidRPr="0069784D">
        <w:rPr>
          <w:lang w:val="nl-BE"/>
        </w:rPr>
        <w:t>wordt het beginpunt van</w:t>
      </w:r>
      <w:r w:rsidRPr="0069784D">
        <w:rPr>
          <w:lang w:val="nl-BE"/>
        </w:rPr>
        <w:t xml:space="preserve"> het verbod eenvoudiger en duidelijker geformuleerd. Er </w:t>
      </w:r>
      <w:r w:rsidR="009558F6" w:rsidRPr="0069784D">
        <w:rPr>
          <w:lang w:val="nl-BE"/>
        </w:rPr>
        <w:t>wordt</w:t>
      </w:r>
      <w:r w:rsidRPr="0069784D">
        <w:rPr>
          <w:lang w:val="nl-BE"/>
        </w:rPr>
        <w:t xml:space="preserve"> namelijk bepaald dat het verbod ingaat op de dag waarop </w:t>
      </w:r>
      <w:r w:rsidR="00C500D2" w:rsidRPr="009405E7">
        <w:rPr>
          <w:lang w:val="nl-BE"/>
        </w:rPr>
        <w:t>de v</w:t>
      </w:r>
      <w:r w:rsidR="00C500D2">
        <w:rPr>
          <w:lang w:val="nl-BE"/>
        </w:rPr>
        <w:t>eroordeling</w:t>
      </w:r>
      <w:r w:rsidR="00C500D2" w:rsidRPr="0069784D">
        <w:rPr>
          <w:lang w:val="nl-BE"/>
        </w:rPr>
        <w:t xml:space="preserve"> </w:t>
      </w:r>
      <w:r w:rsidRPr="0069784D">
        <w:rPr>
          <w:lang w:val="nl-BE"/>
        </w:rPr>
        <w:t xml:space="preserve">in kracht van gewijsde is getreden en er </w:t>
      </w:r>
      <w:r w:rsidR="009558F6" w:rsidRPr="0069784D">
        <w:rPr>
          <w:lang w:val="nl-BE"/>
        </w:rPr>
        <w:t>wordt</w:t>
      </w:r>
      <w:r w:rsidRPr="0069784D">
        <w:rPr>
          <w:lang w:val="nl-BE"/>
        </w:rPr>
        <w:t xml:space="preserve"> een </w:t>
      </w:r>
      <w:r w:rsidR="00C500D2" w:rsidRPr="009405E7">
        <w:rPr>
          <w:lang w:val="nl-BE"/>
        </w:rPr>
        <w:t>verlenging ingevoerd voor</w:t>
      </w:r>
      <w:r w:rsidR="00C500D2" w:rsidRPr="0069784D">
        <w:rPr>
          <w:lang w:val="nl-BE"/>
        </w:rPr>
        <w:t xml:space="preserve"> </w:t>
      </w:r>
      <w:r w:rsidRPr="0069784D">
        <w:rPr>
          <w:lang w:val="nl-BE"/>
        </w:rPr>
        <w:t xml:space="preserve">de effectieve duur van de </w:t>
      </w:r>
      <w:r w:rsidR="00D751F5">
        <w:rPr>
          <w:lang w:val="nl-BE"/>
        </w:rPr>
        <w:t>v</w:t>
      </w:r>
      <w:r w:rsidR="00D751F5" w:rsidRPr="00D36A7C">
        <w:rPr>
          <w:lang w:val="nl-BE"/>
        </w:rPr>
        <w:t>rijheidsstraf</w:t>
      </w:r>
      <w:r w:rsidR="00D751F5">
        <w:rPr>
          <w:lang w:val="nl-BE"/>
        </w:rPr>
        <w:t xml:space="preserve"> </w:t>
      </w:r>
      <w:r w:rsidRPr="0069784D">
        <w:rPr>
          <w:lang w:val="nl-BE"/>
        </w:rPr>
        <w:t xml:space="preserve">alsook van het elektronisch toezicht, maar niet </w:t>
      </w:r>
      <w:r w:rsidR="009558F6" w:rsidRPr="0069784D">
        <w:rPr>
          <w:lang w:val="nl-BE"/>
        </w:rPr>
        <w:t>bij een</w:t>
      </w:r>
      <w:r w:rsidRPr="0069784D">
        <w:rPr>
          <w:lang w:val="nl-BE"/>
        </w:rPr>
        <w:t xml:space="preserve"> vervroegde invrijheidsstelling. Het verbod wordt dus verlengd </w:t>
      </w:r>
      <w:r w:rsidR="00D751F5">
        <w:rPr>
          <w:lang w:val="nl-BE"/>
        </w:rPr>
        <w:t>met de duur</w:t>
      </w:r>
      <w:r w:rsidR="00D751F5" w:rsidRPr="0069784D">
        <w:rPr>
          <w:lang w:val="nl-BE"/>
        </w:rPr>
        <w:t xml:space="preserve"> </w:t>
      </w:r>
      <w:r w:rsidR="00D751F5">
        <w:rPr>
          <w:lang w:val="nl-BE"/>
        </w:rPr>
        <w:t>van een</w:t>
      </w:r>
      <w:r w:rsidR="00D751F5" w:rsidRPr="00D751F5">
        <w:rPr>
          <w:lang w:val="nl-BE"/>
        </w:rPr>
        <w:t xml:space="preserve"> </w:t>
      </w:r>
      <w:r w:rsidR="00D751F5" w:rsidRPr="009405E7">
        <w:rPr>
          <w:lang w:val="nl-BE"/>
        </w:rPr>
        <w:t>vrijheidsstraf</w:t>
      </w:r>
      <w:r w:rsidRPr="0069784D">
        <w:rPr>
          <w:lang w:val="nl-BE"/>
        </w:rPr>
        <w:t xml:space="preserve"> of </w:t>
      </w:r>
      <w:r w:rsidR="009558F6" w:rsidRPr="0069784D">
        <w:rPr>
          <w:lang w:val="nl-BE"/>
        </w:rPr>
        <w:t xml:space="preserve">een </w:t>
      </w:r>
      <w:r w:rsidRPr="0069784D">
        <w:rPr>
          <w:lang w:val="nl-BE"/>
        </w:rPr>
        <w:t xml:space="preserve">tenuitvoerlegging van de straf onder elektronisch toezicht, </w:t>
      </w:r>
      <w:r w:rsidR="00D751F5" w:rsidRPr="009405E7">
        <w:rPr>
          <w:lang w:val="nl-BE"/>
        </w:rPr>
        <w:t>met uitzondering van d</w:t>
      </w:r>
      <w:r w:rsidR="00D751F5">
        <w:rPr>
          <w:lang w:val="nl-BE"/>
        </w:rPr>
        <w:t>e termijn voor vervroegde invrijheidsstelling</w:t>
      </w:r>
      <w:r w:rsidRPr="0069784D">
        <w:rPr>
          <w:lang w:val="nl-BE"/>
        </w:rPr>
        <w:t>.</w:t>
      </w:r>
    </w:p>
    <w:p w14:paraId="556AF17A" w14:textId="4AEF9751" w:rsidR="00DD4815" w:rsidRPr="0069784D" w:rsidRDefault="00DD4815" w:rsidP="009C15CF">
      <w:pPr>
        <w:jc w:val="both"/>
        <w:rPr>
          <w:lang w:val="nl-BE"/>
        </w:rPr>
      </w:pPr>
      <w:r w:rsidRPr="0069784D">
        <w:rPr>
          <w:lang w:val="nl-BE"/>
        </w:rPr>
        <w:t>De voornaamste wijziging heeft betrekking op de duur van het verbod</w:t>
      </w:r>
      <w:r w:rsidR="009558F6" w:rsidRPr="0069784D">
        <w:rPr>
          <w:lang w:val="nl-BE"/>
        </w:rPr>
        <w:t>,</w:t>
      </w:r>
      <w:r w:rsidRPr="0069784D">
        <w:rPr>
          <w:lang w:val="nl-BE"/>
        </w:rPr>
        <w:t xml:space="preserve"> omdat in artikel 433quater/6</w:t>
      </w:r>
      <w:r w:rsidR="009558F6" w:rsidRPr="0069784D">
        <w:rPr>
          <w:lang w:val="nl-BE"/>
        </w:rPr>
        <w:t>,</w:t>
      </w:r>
      <w:r w:rsidRPr="0069784D">
        <w:rPr>
          <w:lang w:val="nl-BE"/>
        </w:rPr>
        <w:t xml:space="preserve"> in tegenstelling tot in het vroegere artikel 382, §2, lid 2 en 3</w:t>
      </w:r>
      <w:r w:rsidR="009558F6" w:rsidRPr="0069784D">
        <w:rPr>
          <w:lang w:val="nl-BE"/>
        </w:rPr>
        <w:t>,</w:t>
      </w:r>
      <w:r w:rsidRPr="0069784D">
        <w:rPr>
          <w:lang w:val="nl-BE"/>
        </w:rPr>
        <w:t xml:space="preserve"> geen onderscheid meer wordt gemaakt naargelang het geval</w:t>
      </w:r>
      <w:r w:rsidR="009558F6" w:rsidRPr="0069784D">
        <w:rPr>
          <w:lang w:val="nl-BE"/>
        </w:rPr>
        <w:t xml:space="preserve"> waarin dit verbod opgelegd wordt</w:t>
      </w:r>
      <w:r w:rsidRPr="0069784D">
        <w:rPr>
          <w:lang w:val="nl-BE"/>
        </w:rPr>
        <w:t xml:space="preserve">.  </w:t>
      </w:r>
    </w:p>
    <w:p w14:paraId="02BECA23" w14:textId="68E604E9" w:rsidR="00DD4815" w:rsidRPr="0069784D" w:rsidRDefault="00DD4815" w:rsidP="009C15CF">
      <w:pPr>
        <w:jc w:val="both"/>
        <w:rPr>
          <w:lang w:val="nl-BE"/>
        </w:rPr>
      </w:pPr>
      <w:r w:rsidRPr="0069784D">
        <w:rPr>
          <w:lang w:val="nl-BE"/>
        </w:rPr>
        <w:t xml:space="preserve">In het nieuwe artikel duurt het verbod sowieso één tot twintig jaar, terwijl in het vroegere artikel het verbod één tot drie jaar, dan wel één tot twintig jaar duurde als er sprake was van een tweede veroordeling wegens een in artikel 380, §1 tot §3 van het Strafwetboek </w:t>
      </w:r>
      <w:r w:rsidR="009558F6" w:rsidRPr="0069784D">
        <w:rPr>
          <w:lang w:val="nl-BE"/>
        </w:rPr>
        <w:t>bepaald</w:t>
      </w:r>
      <w:r w:rsidRPr="0069784D">
        <w:rPr>
          <w:lang w:val="nl-BE"/>
        </w:rPr>
        <w:t xml:space="preserve"> misdrijf of van een veroordeling wegens een in de artikelen 379 en 380, §4 en §5 van het Strafwetboek </w:t>
      </w:r>
      <w:r w:rsidR="00D751F5" w:rsidRPr="00D36A7C">
        <w:rPr>
          <w:lang w:val="nl-BE"/>
        </w:rPr>
        <w:t>bepaald</w:t>
      </w:r>
      <w:r w:rsidR="009558F6" w:rsidRPr="0069784D">
        <w:rPr>
          <w:lang w:val="nl-BE"/>
        </w:rPr>
        <w:t xml:space="preserve"> </w:t>
      </w:r>
      <w:r w:rsidRPr="0069784D">
        <w:rPr>
          <w:lang w:val="nl-BE"/>
        </w:rPr>
        <w:t>misdrijf.</w:t>
      </w:r>
    </w:p>
    <w:p w14:paraId="500CE6F7" w14:textId="77777777" w:rsidR="00140E60" w:rsidRPr="0069784D" w:rsidRDefault="00140E60" w:rsidP="009C15CF">
      <w:pPr>
        <w:jc w:val="both"/>
        <w:rPr>
          <w:lang w:val="nl-BE"/>
        </w:rPr>
      </w:pPr>
    </w:p>
    <w:p w14:paraId="6C5D5B02" w14:textId="7A44623B" w:rsidR="00DD4815" w:rsidRPr="0069784D" w:rsidRDefault="00DD4815" w:rsidP="009C15CF">
      <w:pPr>
        <w:pStyle w:val="Heading3"/>
        <w:jc w:val="both"/>
        <w:rPr>
          <w:rFonts w:asciiTheme="minorHAnsi" w:hAnsiTheme="minorHAnsi" w:cstheme="minorHAnsi"/>
          <w:color w:val="auto"/>
          <w:sz w:val="28"/>
          <w:szCs w:val="28"/>
          <w:lang w:val="nl-BE"/>
        </w:rPr>
      </w:pPr>
      <w:bookmarkStart w:id="52" w:name="_Toc104923500"/>
      <w:r w:rsidRPr="0069784D">
        <w:rPr>
          <w:rFonts w:asciiTheme="minorHAnsi" w:hAnsiTheme="minorHAnsi"/>
          <w:color w:val="auto"/>
          <w:sz w:val="28"/>
          <w:lang w:val="nl-BE"/>
        </w:rPr>
        <w:t>Artikel 433quater/7</w:t>
      </w:r>
      <w:r w:rsidR="009558F6" w:rsidRPr="0069784D">
        <w:rPr>
          <w:rFonts w:asciiTheme="minorHAnsi" w:hAnsiTheme="minorHAnsi"/>
          <w:color w:val="auto"/>
          <w:sz w:val="28"/>
          <w:lang w:val="nl-BE"/>
        </w:rPr>
        <w:t xml:space="preserve"> - </w:t>
      </w:r>
      <w:r w:rsidRPr="0069784D">
        <w:rPr>
          <w:rFonts w:asciiTheme="minorHAnsi" w:hAnsiTheme="minorHAnsi"/>
          <w:color w:val="auto"/>
          <w:sz w:val="28"/>
          <w:lang w:val="nl-BE"/>
        </w:rPr>
        <w:t>Niet-naleving van een straf bestaande uit een verbod of een sluiting</w:t>
      </w:r>
      <w:bookmarkEnd w:id="52"/>
    </w:p>
    <w:p w14:paraId="547941B5" w14:textId="77777777" w:rsidR="00DD4815" w:rsidRPr="0069784D" w:rsidRDefault="00DD4815" w:rsidP="009C15CF">
      <w:pPr>
        <w:jc w:val="both"/>
        <w:rPr>
          <w:b/>
          <w:bCs/>
          <w:lang w:val="nl-BE"/>
        </w:rPr>
      </w:pPr>
    </w:p>
    <w:p w14:paraId="4ADA8F66" w14:textId="77777777" w:rsidR="00DD4815" w:rsidRPr="0069784D" w:rsidRDefault="00DD4815" w:rsidP="009C15CF">
      <w:pPr>
        <w:jc w:val="both"/>
        <w:rPr>
          <w:lang w:val="nl-BE"/>
        </w:rPr>
      </w:pPr>
      <w:r w:rsidRPr="0069784D">
        <w:rPr>
          <w:b/>
          <w:bCs/>
          <w:lang w:val="nl-BE"/>
        </w:rPr>
        <w:t>Het nieuwe artikel 433quater/7 vervangt het vroegere artikel 389, §2 en §4.</w:t>
      </w:r>
      <w:r w:rsidRPr="0069784D">
        <w:rPr>
          <w:lang w:val="nl-BE"/>
        </w:rPr>
        <w:t xml:space="preserve"> </w:t>
      </w:r>
    </w:p>
    <w:p w14:paraId="3DBC234E" w14:textId="5FBCD206" w:rsidR="00DD4815" w:rsidRPr="0069784D" w:rsidRDefault="00DD4815" w:rsidP="009C15CF">
      <w:pPr>
        <w:jc w:val="both"/>
        <w:rPr>
          <w:lang w:val="nl-BE"/>
        </w:rPr>
      </w:pPr>
      <w:r w:rsidRPr="0069784D">
        <w:rPr>
          <w:lang w:val="nl-BE"/>
        </w:rPr>
        <w:t xml:space="preserve">Er </w:t>
      </w:r>
      <w:r w:rsidR="009558F6" w:rsidRPr="0069784D">
        <w:rPr>
          <w:lang w:val="nl-BE"/>
        </w:rPr>
        <w:t>kan</w:t>
      </w:r>
      <w:r w:rsidRPr="0069784D">
        <w:rPr>
          <w:lang w:val="nl-BE"/>
        </w:rPr>
        <w:t xml:space="preserve"> worden opgemerkt dat de straffen in het algemeen w</w:t>
      </w:r>
      <w:r w:rsidR="00140E60" w:rsidRPr="0069784D">
        <w:rPr>
          <w:lang w:val="nl-BE"/>
        </w:rPr>
        <w:t>o</w:t>
      </w:r>
      <w:r w:rsidRPr="0069784D">
        <w:rPr>
          <w:lang w:val="nl-BE"/>
        </w:rPr>
        <w:t xml:space="preserve">rden verstrengd en dat het in alle gevallen mogelijk </w:t>
      </w:r>
      <w:r w:rsidR="009558F6" w:rsidRPr="0069784D">
        <w:rPr>
          <w:lang w:val="nl-BE"/>
        </w:rPr>
        <w:t>wordt</w:t>
      </w:r>
      <w:r w:rsidRPr="0069784D">
        <w:rPr>
          <w:lang w:val="nl-BE"/>
        </w:rPr>
        <w:t xml:space="preserve"> om een aanhoudingsbevel af te leveren.</w:t>
      </w:r>
    </w:p>
    <w:p w14:paraId="75A34CB6" w14:textId="01B998C7" w:rsidR="00DD4815" w:rsidRPr="0069784D" w:rsidRDefault="00D751F5" w:rsidP="009C15CF">
      <w:pPr>
        <w:jc w:val="both"/>
        <w:rPr>
          <w:lang w:val="nl-BE"/>
        </w:rPr>
      </w:pPr>
      <w:r>
        <w:rPr>
          <w:lang w:val="nl-BE"/>
        </w:rPr>
        <w:t>Zoals reeds werd vermeld</w:t>
      </w:r>
      <w:r w:rsidR="00DD4815" w:rsidRPr="0069784D">
        <w:rPr>
          <w:lang w:val="nl-BE"/>
        </w:rPr>
        <w:t xml:space="preserve"> </w:t>
      </w:r>
      <w:r>
        <w:rPr>
          <w:lang w:val="nl-BE"/>
        </w:rPr>
        <w:t>is</w:t>
      </w:r>
      <w:r w:rsidR="009558F6" w:rsidRPr="0069784D">
        <w:rPr>
          <w:lang w:val="nl-BE"/>
        </w:rPr>
        <w:t xml:space="preserve"> de meest in het oog springende wijziging de opsplitsing van het misdrijf ‘pooierschap van minderjarigen’ en ‘pooierschap van meerderjarigen’. Beide misdrijven bevinden zich voortaan in afzonderlijke hoofdstukken, met specifieke artikels betreffende de verboden en sluitingen. Dit heeft ook een impact op de misdrijven betreffende mensenhandel met </w:t>
      </w:r>
      <w:r w:rsidR="00BA7544">
        <w:rPr>
          <w:lang w:val="nl-BE"/>
        </w:rPr>
        <w:t xml:space="preserve">het oog op </w:t>
      </w:r>
      <w:r w:rsidR="009558F6" w:rsidRPr="0069784D">
        <w:rPr>
          <w:lang w:val="nl-BE"/>
        </w:rPr>
        <w:t xml:space="preserve">seksuele </w:t>
      </w:r>
      <w:r w:rsidR="00BA7544">
        <w:rPr>
          <w:lang w:val="nl-BE"/>
        </w:rPr>
        <w:t>uitbuiting</w:t>
      </w:r>
      <w:r w:rsidR="009558F6" w:rsidRPr="0069784D">
        <w:rPr>
          <w:lang w:val="nl-BE"/>
        </w:rPr>
        <w:t xml:space="preserve">, omdat </w:t>
      </w:r>
      <w:r>
        <w:rPr>
          <w:lang w:val="nl-BE"/>
        </w:rPr>
        <w:t>daar de</w:t>
      </w:r>
      <w:r w:rsidR="009558F6" w:rsidRPr="0069784D">
        <w:rPr>
          <w:lang w:val="nl-BE"/>
        </w:rPr>
        <w:t xml:space="preserve"> mogelijkheden inzake het opleggen van een verbod of sluiting gebaseerd zijn op deze betreffende het misdrijf ‘pooierschap’. In artikel 98 worden deze artikels omgezet, maar </w:t>
      </w:r>
      <w:r>
        <w:rPr>
          <w:lang w:val="nl-BE"/>
        </w:rPr>
        <w:t>we stellen vast</w:t>
      </w:r>
      <w:r w:rsidR="009558F6" w:rsidRPr="0069784D">
        <w:rPr>
          <w:lang w:val="nl-BE"/>
        </w:rPr>
        <w:t xml:space="preserve"> dat er geen sprake </w:t>
      </w:r>
      <w:r>
        <w:rPr>
          <w:lang w:val="nl-BE"/>
        </w:rPr>
        <w:t xml:space="preserve">is </w:t>
      </w:r>
      <w:r w:rsidR="009558F6" w:rsidRPr="0069784D">
        <w:rPr>
          <w:lang w:val="nl-BE"/>
        </w:rPr>
        <w:t>van een perfect parallelisme</w:t>
      </w:r>
      <w:r>
        <w:rPr>
          <w:lang w:val="nl-BE"/>
        </w:rPr>
        <w:t xml:space="preserve"> </w:t>
      </w:r>
      <w:r w:rsidR="009558F6" w:rsidRPr="0069784D">
        <w:rPr>
          <w:lang w:val="nl-BE"/>
        </w:rPr>
        <w:t>:</w:t>
      </w:r>
    </w:p>
    <w:p w14:paraId="14C2D91B" w14:textId="77777777" w:rsidR="00DD4815" w:rsidRPr="0069784D" w:rsidRDefault="00DD4815" w:rsidP="009C15CF">
      <w:pPr>
        <w:jc w:val="both"/>
        <w:rPr>
          <w:lang w:val="nl-BE"/>
        </w:rPr>
      </w:pPr>
    </w:p>
    <w:tbl>
      <w:tblPr>
        <w:tblStyle w:val="TableGrid"/>
        <w:tblW w:w="0" w:type="auto"/>
        <w:tblLook w:val="04A0" w:firstRow="1" w:lastRow="0" w:firstColumn="1" w:lastColumn="0" w:noHBand="0" w:noVBand="1"/>
      </w:tblPr>
      <w:tblGrid>
        <w:gridCol w:w="1764"/>
        <w:gridCol w:w="2158"/>
        <w:gridCol w:w="1539"/>
        <w:gridCol w:w="1632"/>
        <w:gridCol w:w="1923"/>
      </w:tblGrid>
      <w:tr w:rsidR="00316596" w:rsidRPr="00D751F5" w14:paraId="4E788B38" w14:textId="77777777" w:rsidTr="009558F6">
        <w:tc>
          <w:tcPr>
            <w:tcW w:w="2122" w:type="dxa"/>
          </w:tcPr>
          <w:p w14:paraId="120FA55F" w14:textId="77777777" w:rsidR="00DD4815" w:rsidRPr="0069784D" w:rsidRDefault="00DD4815" w:rsidP="009C15CF">
            <w:pPr>
              <w:jc w:val="both"/>
              <w:rPr>
                <w:lang w:val="nl-BE"/>
              </w:rPr>
            </w:pPr>
          </w:p>
        </w:tc>
        <w:tc>
          <w:tcPr>
            <w:tcW w:w="1773" w:type="dxa"/>
          </w:tcPr>
          <w:p w14:paraId="7D47E8B4" w14:textId="6D3EAAAB" w:rsidR="00DD4815" w:rsidRPr="0069784D" w:rsidRDefault="00DD4815" w:rsidP="009C15CF">
            <w:pPr>
              <w:jc w:val="both"/>
              <w:rPr>
                <w:b/>
                <w:bCs/>
                <w:lang w:val="nl-BE"/>
              </w:rPr>
            </w:pPr>
            <w:r w:rsidRPr="0069784D">
              <w:rPr>
                <w:b/>
                <w:lang w:val="nl-BE"/>
              </w:rPr>
              <w:t xml:space="preserve">Vroegere </w:t>
            </w:r>
            <w:r w:rsidR="00D751F5" w:rsidRPr="00D751F5">
              <w:rPr>
                <w:b/>
                <w:lang w:val="nl-BE"/>
              </w:rPr>
              <w:t>prostitutiemisdrijven</w:t>
            </w:r>
            <w:r w:rsidRPr="00D751F5">
              <w:rPr>
                <w:b/>
                <w:lang w:val="nl-BE"/>
              </w:rPr>
              <w:t xml:space="preserve"> (meerderjarige</w:t>
            </w:r>
            <w:r w:rsidRPr="0069784D">
              <w:rPr>
                <w:b/>
                <w:lang w:val="nl-BE"/>
              </w:rPr>
              <w:t xml:space="preserve"> en minderjarige slachtoffers)  </w:t>
            </w:r>
          </w:p>
        </w:tc>
        <w:tc>
          <w:tcPr>
            <w:tcW w:w="1797" w:type="dxa"/>
          </w:tcPr>
          <w:p w14:paraId="4AB72E43" w14:textId="77777777" w:rsidR="00DD4815" w:rsidRPr="0069784D" w:rsidRDefault="00DD4815" w:rsidP="009C15CF">
            <w:pPr>
              <w:jc w:val="both"/>
              <w:rPr>
                <w:b/>
                <w:bCs/>
                <w:lang w:val="nl-BE"/>
              </w:rPr>
            </w:pPr>
            <w:r w:rsidRPr="0069784D">
              <w:rPr>
                <w:b/>
                <w:lang w:val="nl-BE"/>
              </w:rPr>
              <w:t xml:space="preserve">Misdrijven inzake de seksuele uitbuiting van minderjarigen </w:t>
            </w:r>
          </w:p>
          <w:p w14:paraId="70769754" w14:textId="0319361D" w:rsidR="00DD4815" w:rsidRPr="0069784D" w:rsidRDefault="00DD4815" w:rsidP="009C15CF">
            <w:pPr>
              <w:jc w:val="both"/>
            </w:pPr>
            <w:r w:rsidRPr="0069784D">
              <w:rPr>
                <w:b/>
              </w:rPr>
              <w:lastRenderedPageBreak/>
              <w:t>(art. 417/24</w:t>
            </w:r>
            <w:r w:rsidR="00316596" w:rsidRPr="0069784D">
              <w:rPr>
                <w:b/>
              </w:rPr>
              <w:t xml:space="preserve"> </w:t>
            </w:r>
            <w:r w:rsidRPr="0069784D">
              <w:rPr>
                <w:b/>
              </w:rPr>
              <w:t>-417/41)</w:t>
            </w:r>
          </w:p>
        </w:tc>
        <w:tc>
          <w:tcPr>
            <w:tcW w:w="1527" w:type="dxa"/>
          </w:tcPr>
          <w:p w14:paraId="10986D4D" w14:textId="58A8D48C" w:rsidR="00DD4815" w:rsidRPr="0069784D" w:rsidRDefault="00DD4815" w:rsidP="009C15CF">
            <w:pPr>
              <w:jc w:val="both"/>
              <w:rPr>
                <w:b/>
                <w:bCs/>
                <w:lang w:val="nl-BE"/>
              </w:rPr>
            </w:pPr>
            <w:r w:rsidRPr="0069784D">
              <w:rPr>
                <w:b/>
                <w:lang w:val="nl-BE"/>
              </w:rPr>
              <w:lastRenderedPageBreak/>
              <w:t xml:space="preserve">Misdrijven inzake misbruik van prostitutie ten </w:t>
            </w:r>
            <w:r w:rsidRPr="0069784D">
              <w:rPr>
                <w:b/>
                <w:lang w:val="nl-BE"/>
              </w:rPr>
              <w:lastRenderedPageBreak/>
              <w:t xml:space="preserve">aanzien van </w:t>
            </w:r>
            <w:r w:rsidR="00D703D6" w:rsidRPr="0069784D">
              <w:rPr>
                <w:b/>
                <w:lang w:val="nl-BE"/>
              </w:rPr>
              <w:t>meerderjarigen</w:t>
            </w:r>
          </w:p>
          <w:p w14:paraId="42A5D925" w14:textId="4B8DDF56" w:rsidR="00DD4815" w:rsidRPr="0069784D" w:rsidRDefault="00DD4815" w:rsidP="009C15CF">
            <w:pPr>
              <w:jc w:val="both"/>
            </w:pPr>
            <w:r w:rsidRPr="0069784D">
              <w:rPr>
                <w:b/>
              </w:rPr>
              <w:t>(art. 433quater/1</w:t>
            </w:r>
            <w:r w:rsidR="00316596" w:rsidRPr="0069784D">
              <w:rPr>
                <w:b/>
              </w:rPr>
              <w:t xml:space="preserve"> </w:t>
            </w:r>
            <w:r w:rsidRPr="0069784D">
              <w:rPr>
                <w:b/>
              </w:rPr>
              <w:t>-433quater/4)</w:t>
            </w:r>
          </w:p>
        </w:tc>
        <w:tc>
          <w:tcPr>
            <w:tcW w:w="1797" w:type="dxa"/>
          </w:tcPr>
          <w:p w14:paraId="5A10B83B" w14:textId="561197AB" w:rsidR="00DD4815" w:rsidRPr="00D751F5" w:rsidRDefault="00D751F5" w:rsidP="009C15CF">
            <w:pPr>
              <w:jc w:val="both"/>
              <w:rPr>
                <w:b/>
                <w:bCs/>
                <w:lang w:val="nl-NL"/>
              </w:rPr>
            </w:pPr>
            <w:r w:rsidRPr="00022C32">
              <w:rPr>
                <w:b/>
                <w:lang w:val="de-DE"/>
              </w:rPr>
              <w:lastRenderedPageBreak/>
              <w:t xml:space="preserve">Mensenhandel </w:t>
            </w:r>
            <w:r w:rsidR="00DD4815" w:rsidRPr="00022C32">
              <w:rPr>
                <w:b/>
                <w:lang w:val="de-DE"/>
              </w:rPr>
              <w:t xml:space="preserve">(art. 433quinquies e.v.) </w:t>
            </w:r>
            <w:r w:rsidR="00DD4815" w:rsidRPr="00D751F5">
              <w:rPr>
                <w:b/>
                <w:lang w:val="nl-NL"/>
              </w:rPr>
              <w:t xml:space="preserve">(meerderjarige en </w:t>
            </w:r>
            <w:r w:rsidR="00DD4815" w:rsidRPr="00D751F5">
              <w:rPr>
                <w:b/>
                <w:lang w:val="nl-NL"/>
              </w:rPr>
              <w:lastRenderedPageBreak/>
              <w:t>minderjarige slachtoffers)</w:t>
            </w:r>
          </w:p>
        </w:tc>
      </w:tr>
      <w:tr w:rsidR="00316596" w:rsidRPr="0069784D" w14:paraId="211A59B3" w14:textId="77777777" w:rsidTr="009558F6">
        <w:tc>
          <w:tcPr>
            <w:tcW w:w="2122" w:type="dxa"/>
          </w:tcPr>
          <w:p w14:paraId="0181D0BE" w14:textId="77777777" w:rsidR="00DD4815" w:rsidRPr="0069784D" w:rsidRDefault="00DD4815" w:rsidP="009C15CF">
            <w:pPr>
              <w:jc w:val="both"/>
              <w:rPr>
                <w:b/>
                <w:bCs/>
              </w:rPr>
            </w:pPr>
            <w:r w:rsidRPr="0069784D">
              <w:rPr>
                <w:b/>
              </w:rPr>
              <w:lastRenderedPageBreak/>
              <w:t>Sluiting van het etablissement</w:t>
            </w:r>
          </w:p>
        </w:tc>
        <w:tc>
          <w:tcPr>
            <w:tcW w:w="1773" w:type="dxa"/>
          </w:tcPr>
          <w:p w14:paraId="6C31C3FD" w14:textId="77777777" w:rsidR="00DD4815" w:rsidRPr="0069784D" w:rsidRDefault="00DD4815" w:rsidP="009C15CF">
            <w:pPr>
              <w:jc w:val="both"/>
            </w:pPr>
            <w:r w:rsidRPr="0069784D">
              <w:t>Art. 382, §3 en art. 389</w:t>
            </w:r>
          </w:p>
          <w:p w14:paraId="4C38BF3D" w14:textId="77777777" w:rsidR="00DD4815" w:rsidRPr="0069784D" w:rsidRDefault="00DD4815" w:rsidP="009C15CF">
            <w:pPr>
              <w:jc w:val="both"/>
              <w:rPr>
                <w:lang w:val="fr-FR"/>
              </w:rPr>
            </w:pPr>
          </w:p>
        </w:tc>
        <w:tc>
          <w:tcPr>
            <w:tcW w:w="1797" w:type="dxa"/>
          </w:tcPr>
          <w:p w14:paraId="380D75FB" w14:textId="77777777" w:rsidR="00DD4815" w:rsidRPr="0069784D" w:rsidRDefault="00DD4815" w:rsidP="009C15CF">
            <w:pPr>
              <w:jc w:val="both"/>
            </w:pPr>
            <w:r w:rsidRPr="0069784D">
              <w:t>Art. 417/57</w:t>
            </w:r>
          </w:p>
          <w:p w14:paraId="7773EA75" w14:textId="77777777" w:rsidR="00DD4815" w:rsidRPr="0069784D" w:rsidRDefault="00DD4815" w:rsidP="009C15CF">
            <w:pPr>
              <w:jc w:val="both"/>
              <w:rPr>
                <w:lang w:val="fr-FR"/>
              </w:rPr>
            </w:pPr>
          </w:p>
        </w:tc>
        <w:tc>
          <w:tcPr>
            <w:tcW w:w="1527" w:type="dxa"/>
          </w:tcPr>
          <w:p w14:paraId="34F68743" w14:textId="77777777" w:rsidR="00DD4815" w:rsidRPr="0069784D" w:rsidRDefault="00DD4815" w:rsidP="009C15CF">
            <w:pPr>
              <w:jc w:val="both"/>
            </w:pPr>
            <w:r w:rsidRPr="0069784D">
              <w:t>Art. 433quater/5</w:t>
            </w:r>
          </w:p>
          <w:p w14:paraId="70AFD972" w14:textId="77777777" w:rsidR="00DD4815" w:rsidRPr="0069784D" w:rsidRDefault="00DD4815" w:rsidP="009C15CF">
            <w:pPr>
              <w:jc w:val="both"/>
              <w:rPr>
                <w:lang w:val="fr-FR"/>
              </w:rPr>
            </w:pPr>
          </w:p>
        </w:tc>
        <w:tc>
          <w:tcPr>
            <w:tcW w:w="1797" w:type="dxa"/>
          </w:tcPr>
          <w:p w14:paraId="2535EEE4" w14:textId="77777777" w:rsidR="00DD4815" w:rsidRPr="0069784D" w:rsidRDefault="00DD4815" w:rsidP="009C15CF">
            <w:pPr>
              <w:jc w:val="both"/>
            </w:pPr>
            <w:r w:rsidRPr="0069784D">
              <w:t xml:space="preserve">Art. 433novies, §4 waarin wordt verwezen naar art. 417/57 + art. 433quater/5 </w:t>
            </w:r>
          </w:p>
        </w:tc>
      </w:tr>
      <w:tr w:rsidR="00316596" w:rsidRPr="0069784D" w14:paraId="7285CC44" w14:textId="77777777" w:rsidTr="009558F6">
        <w:tc>
          <w:tcPr>
            <w:tcW w:w="2122" w:type="dxa"/>
          </w:tcPr>
          <w:p w14:paraId="0AEFFCB3" w14:textId="77777777" w:rsidR="00DD4815" w:rsidRPr="0069784D" w:rsidRDefault="00DD4815" w:rsidP="009C15CF">
            <w:pPr>
              <w:jc w:val="both"/>
              <w:rPr>
                <w:b/>
                <w:bCs/>
              </w:rPr>
            </w:pPr>
            <w:r w:rsidRPr="0069784D">
              <w:rPr>
                <w:b/>
              </w:rPr>
              <w:t>Verblijfs- en plaatsverbod</w:t>
            </w:r>
          </w:p>
        </w:tc>
        <w:tc>
          <w:tcPr>
            <w:tcW w:w="1773" w:type="dxa"/>
          </w:tcPr>
          <w:p w14:paraId="33BE1C3F" w14:textId="77777777" w:rsidR="00DD4815" w:rsidRPr="0069784D" w:rsidRDefault="00DD4815" w:rsidP="009C15CF">
            <w:pPr>
              <w:jc w:val="both"/>
              <w:rPr>
                <w:lang w:val="nl-BE"/>
              </w:rPr>
            </w:pPr>
            <w:r w:rsidRPr="0069784D">
              <w:rPr>
                <w:lang w:val="nl-BE"/>
              </w:rPr>
              <w:t>Art. 382bis 4° en art. 389</w:t>
            </w:r>
          </w:p>
          <w:p w14:paraId="1F4E5FBA" w14:textId="74A692D7" w:rsidR="00DD4815" w:rsidRPr="0069784D" w:rsidRDefault="00DD4815" w:rsidP="009C15CF">
            <w:pPr>
              <w:jc w:val="both"/>
              <w:rPr>
                <w:lang w:val="nl-BE"/>
              </w:rPr>
            </w:pPr>
            <w:r w:rsidRPr="0069784D">
              <w:rPr>
                <w:lang w:val="nl-BE"/>
              </w:rPr>
              <w:t xml:space="preserve">= enkel </w:t>
            </w:r>
            <w:r w:rsidR="00316596" w:rsidRPr="0069784D">
              <w:rPr>
                <w:lang w:val="nl-BE"/>
              </w:rPr>
              <w:t>bij</w:t>
            </w:r>
            <w:r w:rsidRPr="0069784D">
              <w:rPr>
                <w:lang w:val="nl-BE"/>
              </w:rPr>
              <w:t xml:space="preserve"> ten aanzien van of met behulp van minderjarigen gepleegde wanbedrijven </w:t>
            </w:r>
          </w:p>
        </w:tc>
        <w:tc>
          <w:tcPr>
            <w:tcW w:w="1797" w:type="dxa"/>
          </w:tcPr>
          <w:p w14:paraId="1CBB16F3" w14:textId="77777777" w:rsidR="00DD4815" w:rsidRPr="0069784D" w:rsidRDefault="00DD4815" w:rsidP="009C15CF">
            <w:pPr>
              <w:jc w:val="both"/>
            </w:pPr>
            <w:r w:rsidRPr="0069784D">
              <w:t>Art. 417/58</w:t>
            </w:r>
          </w:p>
        </w:tc>
        <w:tc>
          <w:tcPr>
            <w:tcW w:w="1527" w:type="dxa"/>
          </w:tcPr>
          <w:p w14:paraId="506C1A7B" w14:textId="77777777" w:rsidR="00DD4815" w:rsidRPr="0069784D" w:rsidRDefault="00DD4815" w:rsidP="009C15CF">
            <w:pPr>
              <w:jc w:val="both"/>
            </w:pPr>
            <w:r w:rsidRPr="0069784D">
              <w:t>-</w:t>
            </w:r>
          </w:p>
        </w:tc>
        <w:tc>
          <w:tcPr>
            <w:tcW w:w="1797" w:type="dxa"/>
          </w:tcPr>
          <w:p w14:paraId="5E40AEFB" w14:textId="77777777" w:rsidR="00DD4815" w:rsidRPr="0069784D" w:rsidRDefault="00DD4815" w:rsidP="009C15CF">
            <w:pPr>
              <w:jc w:val="both"/>
            </w:pPr>
            <w:r w:rsidRPr="0069784D">
              <w:t xml:space="preserve">- </w:t>
            </w:r>
          </w:p>
        </w:tc>
      </w:tr>
      <w:tr w:rsidR="00316596" w:rsidRPr="0069784D" w14:paraId="2701A59C" w14:textId="77777777" w:rsidTr="009558F6">
        <w:tc>
          <w:tcPr>
            <w:tcW w:w="2122" w:type="dxa"/>
          </w:tcPr>
          <w:p w14:paraId="11FA3AED" w14:textId="73B1B27C" w:rsidR="00DD4815" w:rsidRPr="0069784D" w:rsidRDefault="00DD4815" w:rsidP="009C15CF">
            <w:pPr>
              <w:jc w:val="both"/>
              <w:rPr>
                <w:b/>
                <w:bCs/>
              </w:rPr>
            </w:pPr>
            <w:r w:rsidRPr="0069784D">
              <w:rPr>
                <w:b/>
              </w:rPr>
              <w:t>Geïndivi</w:t>
            </w:r>
            <w:r w:rsidR="00316596" w:rsidRPr="0069784D">
              <w:rPr>
                <w:b/>
              </w:rPr>
              <w:t>-</w:t>
            </w:r>
            <w:r w:rsidRPr="0069784D">
              <w:rPr>
                <w:b/>
              </w:rPr>
              <w:t>dualiseerd contactverbod</w:t>
            </w:r>
          </w:p>
        </w:tc>
        <w:tc>
          <w:tcPr>
            <w:tcW w:w="1773" w:type="dxa"/>
          </w:tcPr>
          <w:p w14:paraId="47B35111" w14:textId="77777777" w:rsidR="00DD4815" w:rsidRPr="0069784D" w:rsidRDefault="00DD4815" w:rsidP="009C15CF">
            <w:pPr>
              <w:jc w:val="both"/>
            </w:pPr>
            <w:r w:rsidRPr="0069784D">
              <w:t>-</w:t>
            </w:r>
          </w:p>
        </w:tc>
        <w:tc>
          <w:tcPr>
            <w:tcW w:w="1797" w:type="dxa"/>
          </w:tcPr>
          <w:p w14:paraId="4539D124" w14:textId="77777777" w:rsidR="00DD4815" w:rsidRPr="0069784D" w:rsidRDefault="00DD4815" w:rsidP="009C15CF">
            <w:pPr>
              <w:jc w:val="both"/>
            </w:pPr>
            <w:r w:rsidRPr="0069784D">
              <w:t>Art. 417/58</w:t>
            </w:r>
          </w:p>
        </w:tc>
        <w:tc>
          <w:tcPr>
            <w:tcW w:w="1527" w:type="dxa"/>
          </w:tcPr>
          <w:p w14:paraId="5619355B" w14:textId="77777777" w:rsidR="00DD4815" w:rsidRPr="0069784D" w:rsidRDefault="00DD4815" w:rsidP="009C15CF">
            <w:pPr>
              <w:jc w:val="both"/>
            </w:pPr>
            <w:r w:rsidRPr="0069784D">
              <w:t>-</w:t>
            </w:r>
          </w:p>
        </w:tc>
        <w:tc>
          <w:tcPr>
            <w:tcW w:w="1797" w:type="dxa"/>
          </w:tcPr>
          <w:p w14:paraId="2020D7C0" w14:textId="77777777" w:rsidR="00DD4815" w:rsidRPr="0069784D" w:rsidRDefault="00DD4815" w:rsidP="009C15CF">
            <w:pPr>
              <w:jc w:val="both"/>
            </w:pPr>
            <w:r w:rsidRPr="0069784D">
              <w:t>-</w:t>
            </w:r>
          </w:p>
        </w:tc>
      </w:tr>
      <w:tr w:rsidR="00316596" w:rsidRPr="0069784D" w14:paraId="0859C5BF" w14:textId="77777777" w:rsidTr="009558F6">
        <w:tc>
          <w:tcPr>
            <w:tcW w:w="2122" w:type="dxa"/>
          </w:tcPr>
          <w:p w14:paraId="053B28BE" w14:textId="0E05988B" w:rsidR="00DD4815" w:rsidRPr="0069784D" w:rsidRDefault="00DD4815" w:rsidP="009C15CF">
            <w:pPr>
              <w:jc w:val="both"/>
              <w:rPr>
                <w:b/>
                <w:bCs/>
                <w:lang w:val="nl-BE"/>
              </w:rPr>
            </w:pPr>
            <w:r w:rsidRPr="0069784D">
              <w:rPr>
                <w:b/>
                <w:lang w:val="nl-BE"/>
              </w:rPr>
              <w:t xml:space="preserve">Ontzetting van de rechten </w:t>
            </w:r>
            <w:r w:rsidR="009558F6" w:rsidRPr="0069784D">
              <w:rPr>
                <w:b/>
                <w:lang w:val="nl-BE"/>
              </w:rPr>
              <w:t>bedoeld</w:t>
            </w:r>
            <w:r w:rsidRPr="0069784D">
              <w:rPr>
                <w:b/>
                <w:lang w:val="nl-BE"/>
              </w:rPr>
              <w:t xml:space="preserve"> in artikel 31, lid 1 </w:t>
            </w:r>
          </w:p>
        </w:tc>
        <w:tc>
          <w:tcPr>
            <w:tcW w:w="1773" w:type="dxa"/>
          </w:tcPr>
          <w:p w14:paraId="4996B70C" w14:textId="77777777" w:rsidR="00DD4815" w:rsidRPr="0069784D" w:rsidRDefault="00DD4815" w:rsidP="009C15CF">
            <w:pPr>
              <w:jc w:val="both"/>
            </w:pPr>
            <w:r w:rsidRPr="0069784D">
              <w:t xml:space="preserve">Art. 382 §1 </w:t>
            </w:r>
          </w:p>
        </w:tc>
        <w:tc>
          <w:tcPr>
            <w:tcW w:w="1797" w:type="dxa"/>
          </w:tcPr>
          <w:p w14:paraId="35F91FC7" w14:textId="77777777" w:rsidR="00DD4815" w:rsidRPr="0069784D" w:rsidRDefault="00DD4815" w:rsidP="009C15CF">
            <w:pPr>
              <w:jc w:val="both"/>
            </w:pPr>
            <w:r w:rsidRPr="0069784D">
              <w:t>Art. 417/59, §1</w:t>
            </w:r>
          </w:p>
        </w:tc>
        <w:tc>
          <w:tcPr>
            <w:tcW w:w="1527" w:type="dxa"/>
          </w:tcPr>
          <w:p w14:paraId="3144D5A8" w14:textId="77777777" w:rsidR="00DD4815" w:rsidRPr="0069784D" w:rsidRDefault="00DD4815" w:rsidP="009C15CF">
            <w:pPr>
              <w:jc w:val="both"/>
            </w:pPr>
            <w:r w:rsidRPr="0069784D">
              <w:t xml:space="preserve">Art. 433quater/6, lid 1 </w:t>
            </w:r>
          </w:p>
        </w:tc>
        <w:tc>
          <w:tcPr>
            <w:tcW w:w="1797" w:type="dxa"/>
          </w:tcPr>
          <w:p w14:paraId="38C568FF" w14:textId="77777777" w:rsidR="00DD4815" w:rsidRPr="0069784D" w:rsidRDefault="00DD4815" w:rsidP="009C15CF">
            <w:pPr>
              <w:jc w:val="both"/>
            </w:pPr>
            <w:r w:rsidRPr="0069784D">
              <w:t xml:space="preserve">Art. 433novies, §1 </w:t>
            </w:r>
          </w:p>
        </w:tc>
      </w:tr>
      <w:tr w:rsidR="00316596" w:rsidRPr="0069784D" w14:paraId="46BADE49" w14:textId="77777777" w:rsidTr="009558F6">
        <w:tc>
          <w:tcPr>
            <w:tcW w:w="2122" w:type="dxa"/>
          </w:tcPr>
          <w:p w14:paraId="7703F252" w14:textId="07B9C0CD" w:rsidR="00DD4815" w:rsidRPr="0069784D" w:rsidRDefault="00DD4815" w:rsidP="009C15CF">
            <w:pPr>
              <w:jc w:val="both"/>
              <w:rPr>
                <w:b/>
                <w:bCs/>
                <w:lang w:val="nl-BE"/>
              </w:rPr>
            </w:pPr>
            <w:r w:rsidRPr="0069784D">
              <w:rPr>
                <w:b/>
                <w:lang w:val="nl-BE"/>
              </w:rPr>
              <w:t>Verbod tot uitbating van een structuur voor gemeen</w:t>
            </w:r>
            <w:r w:rsidR="009558F6" w:rsidRPr="0069784D">
              <w:rPr>
                <w:b/>
                <w:lang w:val="nl-BE"/>
              </w:rPr>
              <w:t>-</w:t>
            </w:r>
            <w:r w:rsidRPr="0069784D">
              <w:rPr>
                <w:b/>
                <w:lang w:val="nl-BE"/>
              </w:rPr>
              <w:t>schappelijk verblijf van kwetsbare personen</w:t>
            </w:r>
          </w:p>
        </w:tc>
        <w:tc>
          <w:tcPr>
            <w:tcW w:w="1773" w:type="dxa"/>
          </w:tcPr>
          <w:p w14:paraId="6D742DFF" w14:textId="77777777" w:rsidR="00DD4815" w:rsidRPr="0069784D" w:rsidRDefault="00DD4815" w:rsidP="009C15CF">
            <w:pPr>
              <w:jc w:val="both"/>
            </w:pPr>
            <w:r w:rsidRPr="0069784D">
              <w:t>-</w:t>
            </w:r>
          </w:p>
        </w:tc>
        <w:tc>
          <w:tcPr>
            <w:tcW w:w="1797" w:type="dxa"/>
          </w:tcPr>
          <w:p w14:paraId="1D15735E" w14:textId="77777777" w:rsidR="00DD4815" w:rsidRPr="0069784D" w:rsidRDefault="00DD4815" w:rsidP="009C15CF">
            <w:pPr>
              <w:jc w:val="both"/>
            </w:pPr>
            <w:r w:rsidRPr="0069784D">
              <w:t xml:space="preserve">Art. 417/59, §2, lid 1 </w:t>
            </w:r>
          </w:p>
        </w:tc>
        <w:tc>
          <w:tcPr>
            <w:tcW w:w="1527" w:type="dxa"/>
          </w:tcPr>
          <w:p w14:paraId="5AF7ADFF" w14:textId="77777777" w:rsidR="00DD4815" w:rsidRPr="0069784D" w:rsidRDefault="00DD4815" w:rsidP="009C15CF">
            <w:pPr>
              <w:jc w:val="both"/>
            </w:pPr>
            <w:r w:rsidRPr="0069784D">
              <w:t>-</w:t>
            </w:r>
          </w:p>
        </w:tc>
        <w:tc>
          <w:tcPr>
            <w:tcW w:w="1797" w:type="dxa"/>
          </w:tcPr>
          <w:p w14:paraId="6ADAE919" w14:textId="77777777" w:rsidR="00DD4815" w:rsidRPr="0069784D" w:rsidRDefault="00DD4815" w:rsidP="009C15CF">
            <w:pPr>
              <w:jc w:val="both"/>
              <w:rPr>
                <w:lang w:val="nl-BE"/>
              </w:rPr>
            </w:pPr>
            <w:r w:rsidRPr="0069784D">
              <w:rPr>
                <w:lang w:val="nl-BE"/>
              </w:rPr>
              <w:t xml:space="preserve">Art. 433novies, §2, waarin wordt verwezen naar art. 417/59, §2 </w:t>
            </w:r>
          </w:p>
          <w:p w14:paraId="6B2D5FA3" w14:textId="5F5203B9" w:rsidR="00DD4815" w:rsidRPr="0069784D" w:rsidRDefault="00DD4815" w:rsidP="009C15CF">
            <w:pPr>
              <w:jc w:val="both"/>
              <w:rPr>
                <w:b/>
                <w:bCs/>
              </w:rPr>
            </w:pPr>
            <w:r w:rsidRPr="0069784D">
              <w:rPr>
                <w:b/>
              </w:rPr>
              <w:t xml:space="preserve">(nieuw verbod </w:t>
            </w:r>
            <w:r w:rsidR="00316596" w:rsidRPr="0069784D">
              <w:rPr>
                <w:b/>
              </w:rPr>
              <w:t>bij</w:t>
            </w:r>
            <w:r w:rsidRPr="0069784D">
              <w:rPr>
                <w:b/>
              </w:rPr>
              <w:t xml:space="preserve"> mensenhandel)</w:t>
            </w:r>
          </w:p>
        </w:tc>
      </w:tr>
      <w:tr w:rsidR="00316596" w:rsidRPr="001C6BF9" w14:paraId="71E7B190" w14:textId="77777777" w:rsidTr="009558F6">
        <w:tc>
          <w:tcPr>
            <w:tcW w:w="2122" w:type="dxa"/>
          </w:tcPr>
          <w:p w14:paraId="09EE69EB" w14:textId="77777777" w:rsidR="00DD4815" w:rsidRPr="0069784D" w:rsidRDefault="00DD4815" w:rsidP="009C15CF">
            <w:pPr>
              <w:jc w:val="both"/>
              <w:rPr>
                <w:b/>
                <w:bCs/>
                <w:lang w:val="nl-BE"/>
              </w:rPr>
            </w:pPr>
            <w:r w:rsidRPr="0069784D">
              <w:rPr>
                <w:b/>
                <w:lang w:val="nl-BE"/>
              </w:rPr>
              <w:t>Verbod om deel te nemen aan onderwijs in een instelling die minderjarigen opvangt</w:t>
            </w:r>
          </w:p>
        </w:tc>
        <w:tc>
          <w:tcPr>
            <w:tcW w:w="1773" w:type="dxa"/>
          </w:tcPr>
          <w:p w14:paraId="1A621638" w14:textId="77777777" w:rsidR="00DD4815" w:rsidRPr="0069784D" w:rsidRDefault="00DD4815" w:rsidP="009C15CF">
            <w:pPr>
              <w:jc w:val="both"/>
              <w:rPr>
                <w:lang w:val="nl-BE"/>
              </w:rPr>
            </w:pPr>
            <w:r w:rsidRPr="0069784D">
              <w:rPr>
                <w:lang w:val="nl-BE"/>
              </w:rPr>
              <w:t>Art. 382bis, 1°</w:t>
            </w:r>
          </w:p>
          <w:p w14:paraId="3FFB1E83" w14:textId="01908B94" w:rsidR="00DD4815" w:rsidRPr="0069784D" w:rsidRDefault="00DD4815" w:rsidP="009C15CF">
            <w:pPr>
              <w:jc w:val="both"/>
              <w:rPr>
                <w:lang w:val="nl-BE"/>
              </w:rPr>
            </w:pPr>
            <w:r w:rsidRPr="0069784D">
              <w:rPr>
                <w:lang w:val="nl-BE"/>
              </w:rPr>
              <w:t xml:space="preserve">= enkel </w:t>
            </w:r>
            <w:r w:rsidR="00316596" w:rsidRPr="0069784D">
              <w:rPr>
                <w:lang w:val="nl-BE"/>
              </w:rPr>
              <w:t>bij</w:t>
            </w:r>
            <w:r w:rsidRPr="0069784D">
              <w:rPr>
                <w:lang w:val="nl-BE"/>
              </w:rPr>
              <w:t xml:space="preserve"> ten aanzien van of met behulp van minderjarigen gepleegde wanbedrijven </w:t>
            </w:r>
          </w:p>
        </w:tc>
        <w:tc>
          <w:tcPr>
            <w:tcW w:w="1797" w:type="dxa"/>
          </w:tcPr>
          <w:p w14:paraId="1FCE5BF6" w14:textId="77777777" w:rsidR="00DD4815" w:rsidRPr="0069784D" w:rsidRDefault="00DD4815" w:rsidP="009C15CF">
            <w:pPr>
              <w:jc w:val="both"/>
            </w:pPr>
            <w:r w:rsidRPr="0069784D">
              <w:t>Art. 417/59, §2, lid 3</w:t>
            </w:r>
          </w:p>
        </w:tc>
        <w:tc>
          <w:tcPr>
            <w:tcW w:w="1527" w:type="dxa"/>
          </w:tcPr>
          <w:p w14:paraId="4AAAB413" w14:textId="77777777" w:rsidR="00DD4815" w:rsidRPr="0069784D" w:rsidRDefault="00DD4815" w:rsidP="009C15CF">
            <w:pPr>
              <w:jc w:val="both"/>
            </w:pPr>
            <w:r w:rsidRPr="0069784D">
              <w:t>-</w:t>
            </w:r>
          </w:p>
        </w:tc>
        <w:tc>
          <w:tcPr>
            <w:tcW w:w="1797" w:type="dxa"/>
          </w:tcPr>
          <w:p w14:paraId="11CB103A" w14:textId="77777777" w:rsidR="00DD4815" w:rsidRPr="0069784D" w:rsidRDefault="00DD4815" w:rsidP="009C15CF">
            <w:pPr>
              <w:jc w:val="both"/>
              <w:rPr>
                <w:lang w:val="nl-BE"/>
              </w:rPr>
            </w:pPr>
            <w:r w:rsidRPr="0069784D">
              <w:rPr>
                <w:lang w:val="nl-BE"/>
              </w:rPr>
              <w:t>Art. 433novies, §2 waarin wordt verwezen naar art. 417/59, §2</w:t>
            </w:r>
          </w:p>
          <w:p w14:paraId="363A33F3" w14:textId="0C3FB519" w:rsidR="00DD4815" w:rsidRPr="0069784D" w:rsidRDefault="00DD4815" w:rsidP="009C15CF">
            <w:pPr>
              <w:jc w:val="both"/>
              <w:rPr>
                <w:b/>
                <w:bCs/>
                <w:lang w:val="nl-BE"/>
              </w:rPr>
            </w:pPr>
            <w:r w:rsidRPr="0069784D">
              <w:rPr>
                <w:b/>
                <w:lang w:val="nl-BE"/>
              </w:rPr>
              <w:t>= van toepassing</w:t>
            </w:r>
            <w:r w:rsidR="00316596" w:rsidRPr="0069784D">
              <w:rPr>
                <w:b/>
                <w:lang w:val="nl-BE"/>
              </w:rPr>
              <w:t xml:space="preserve"> bij </w:t>
            </w:r>
            <w:r w:rsidRPr="0069784D">
              <w:rPr>
                <w:b/>
                <w:lang w:val="nl-BE"/>
              </w:rPr>
              <w:t xml:space="preserve">meerderjarige en minderjarige slachtoffers </w:t>
            </w:r>
          </w:p>
        </w:tc>
      </w:tr>
      <w:tr w:rsidR="00316596" w:rsidRPr="001C6BF9" w14:paraId="6AF77962" w14:textId="77777777" w:rsidTr="009558F6">
        <w:tc>
          <w:tcPr>
            <w:tcW w:w="2122" w:type="dxa"/>
          </w:tcPr>
          <w:p w14:paraId="6093DBAB" w14:textId="77777777" w:rsidR="00DD4815" w:rsidRPr="0069784D" w:rsidRDefault="00DD4815" w:rsidP="009C15CF">
            <w:pPr>
              <w:jc w:val="both"/>
              <w:rPr>
                <w:b/>
                <w:bCs/>
                <w:lang w:val="nl-BE"/>
              </w:rPr>
            </w:pPr>
            <w:r w:rsidRPr="0069784D">
              <w:rPr>
                <w:b/>
                <w:lang w:val="nl-BE"/>
              </w:rPr>
              <w:t xml:space="preserve">Verbod om deel uit te maken van elke rechtspersoon of feitelijke vereniging waarvan de </w:t>
            </w:r>
            <w:r w:rsidRPr="0069784D">
              <w:rPr>
                <w:b/>
                <w:lang w:val="nl-BE"/>
              </w:rPr>
              <w:lastRenderedPageBreak/>
              <w:t>activiteit in hoofdzaak op minderjarigen gericht is</w:t>
            </w:r>
          </w:p>
        </w:tc>
        <w:tc>
          <w:tcPr>
            <w:tcW w:w="1773" w:type="dxa"/>
          </w:tcPr>
          <w:p w14:paraId="235F20CA" w14:textId="77777777" w:rsidR="00DD4815" w:rsidRPr="0069784D" w:rsidRDefault="00DD4815" w:rsidP="009C15CF">
            <w:pPr>
              <w:jc w:val="both"/>
              <w:rPr>
                <w:lang w:val="nl-BE"/>
              </w:rPr>
            </w:pPr>
            <w:r w:rsidRPr="0069784D">
              <w:rPr>
                <w:lang w:val="nl-BE"/>
              </w:rPr>
              <w:lastRenderedPageBreak/>
              <w:t>Art. 382bis, 2°</w:t>
            </w:r>
          </w:p>
          <w:p w14:paraId="1379ADEB" w14:textId="24A2DD65" w:rsidR="00DD4815" w:rsidRPr="0069784D" w:rsidRDefault="00DD4815" w:rsidP="009C15CF">
            <w:pPr>
              <w:jc w:val="both"/>
              <w:rPr>
                <w:lang w:val="nl-BE"/>
              </w:rPr>
            </w:pPr>
            <w:r w:rsidRPr="0069784D">
              <w:rPr>
                <w:lang w:val="nl-BE"/>
              </w:rPr>
              <w:t xml:space="preserve">= enkel </w:t>
            </w:r>
            <w:r w:rsidR="00316596" w:rsidRPr="0069784D">
              <w:rPr>
                <w:lang w:val="nl-BE"/>
              </w:rPr>
              <w:t>bij</w:t>
            </w:r>
            <w:r w:rsidRPr="0069784D">
              <w:rPr>
                <w:lang w:val="nl-BE"/>
              </w:rPr>
              <w:t xml:space="preserve"> ten aanzien van of met behulp van minderjarigen gepleegde wanbedrijven</w:t>
            </w:r>
          </w:p>
        </w:tc>
        <w:tc>
          <w:tcPr>
            <w:tcW w:w="1797" w:type="dxa"/>
          </w:tcPr>
          <w:p w14:paraId="3E11BD41" w14:textId="77777777" w:rsidR="00DD4815" w:rsidRPr="0069784D" w:rsidRDefault="00DD4815" w:rsidP="009C15CF">
            <w:pPr>
              <w:jc w:val="both"/>
            </w:pPr>
            <w:r w:rsidRPr="0069784D">
              <w:t>Art. 417/59, §2, lid 4</w:t>
            </w:r>
          </w:p>
        </w:tc>
        <w:tc>
          <w:tcPr>
            <w:tcW w:w="1527" w:type="dxa"/>
          </w:tcPr>
          <w:p w14:paraId="499638E2" w14:textId="77777777" w:rsidR="00DD4815" w:rsidRPr="0069784D" w:rsidRDefault="00DD4815" w:rsidP="009C15CF">
            <w:pPr>
              <w:jc w:val="both"/>
            </w:pPr>
            <w:r w:rsidRPr="0069784D">
              <w:t>-</w:t>
            </w:r>
          </w:p>
        </w:tc>
        <w:tc>
          <w:tcPr>
            <w:tcW w:w="1797" w:type="dxa"/>
          </w:tcPr>
          <w:p w14:paraId="231120E0" w14:textId="77777777" w:rsidR="00DD4815" w:rsidRPr="0069784D" w:rsidRDefault="00DD4815" w:rsidP="009C15CF">
            <w:pPr>
              <w:jc w:val="both"/>
              <w:rPr>
                <w:lang w:val="nl-BE"/>
              </w:rPr>
            </w:pPr>
            <w:r w:rsidRPr="0069784D">
              <w:rPr>
                <w:lang w:val="nl-BE"/>
              </w:rPr>
              <w:t xml:space="preserve">Art. 433novies, §2 waarin wordt verwezen naar art. 417/59, §2 </w:t>
            </w:r>
          </w:p>
          <w:p w14:paraId="632704FE" w14:textId="4716F7CC" w:rsidR="00DD4815" w:rsidRPr="0069784D" w:rsidRDefault="00DD4815" w:rsidP="009C15CF">
            <w:pPr>
              <w:jc w:val="both"/>
              <w:rPr>
                <w:b/>
                <w:bCs/>
                <w:lang w:val="nl-BE"/>
              </w:rPr>
            </w:pPr>
            <w:r w:rsidRPr="0069784D">
              <w:rPr>
                <w:b/>
                <w:lang w:val="nl-BE"/>
              </w:rPr>
              <w:t xml:space="preserve">= van toepassing </w:t>
            </w:r>
            <w:r w:rsidR="00316596" w:rsidRPr="0069784D">
              <w:rPr>
                <w:b/>
                <w:lang w:val="nl-BE"/>
              </w:rPr>
              <w:t xml:space="preserve">bij </w:t>
            </w:r>
            <w:r w:rsidRPr="0069784D">
              <w:rPr>
                <w:b/>
                <w:lang w:val="nl-BE"/>
              </w:rPr>
              <w:t xml:space="preserve">meerderjarige </w:t>
            </w:r>
            <w:r w:rsidRPr="0069784D">
              <w:rPr>
                <w:b/>
                <w:lang w:val="nl-BE"/>
              </w:rPr>
              <w:lastRenderedPageBreak/>
              <w:t>en minderjarige slachtoffers</w:t>
            </w:r>
            <w:r w:rsidRPr="0069784D">
              <w:rPr>
                <w:b/>
                <w:color w:val="FF0000"/>
                <w:lang w:val="nl-BE"/>
              </w:rPr>
              <w:t xml:space="preserve"> </w:t>
            </w:r>
          </w:p>
        </w:tc>
      </w:tr>
      <w:tr w:rsidR="00316596" w:rsidRPr="001C6BF9" w14:paraId="716D97CE" w14:textId="77777777" w:rsidTr="009558F6">
        <w:tc>
          <w:tcPr>
            <w:tcW w:w="2122" w:type="dxa"/>
          </w:tcPr>
          <w:p w14:paraId="32F8A122" w14:textId="7C2623B4" w:rsidR="00DD4815" w:rsidRPr="0069784D" w:rsidRDefault="00DD4815" w:rsidP="009C15CF">
            <w:pPr>
              <w:jc w:val="both"/>
              <w:rPr>
                <w:b/>
                <w:bCs/>
                <w:lang w:val="nl-BE"/>
              </w:rPr>
            </w:pPr>
            <w:r w:rsidRPr="0069784D">
              <w:rPr>
                <w:b/>
                <w:lang w:val="nl-BE"/>
              </w:rPr>
              <w:lastRenderedPageBreak/>
              <w:t>Verbod om een activiteit toegewezen te krijgen die de veroordeelde in een vertrouwens</w:t>
            </w:r>
            <w:r w:rsidR="009558F6" w:rsidRPr="0069784D">
              <w:rPr>
                <w:b/>
                <w:lang w:val="nl-BE"/>
              </w:rPr>
              <w:t>-</w:t>
            </w:r>
            <w:r w:rsidRPr="0069784D">
              <w:rPr>
                <w:b/>
                <w:lang w:val="nl-BE"/>
              </w:rPr>
              <w:t>relatie tegenover minderjarigen plaatst</w:t>
            </w:r>
          </w:p>
        </w:tc>
        <w:tc>
          <w:tcPr>
            <w:tcW w:w="1773" w:type="dxa"/>
          </w:tcPr>
          <w:p w14:paraId="074A6B00" w14:textId="77777777" w:rsidR="00DD4815" w:rsidRPr="0069784D" w:rsidRDefault="00DD4815" w:rsidP="009C15CF">
            <w:pPr>
              <w:jc w:val="both"/>
              <w:rPr>
                <w:lang w:val="nl-BE"/>
              </w:rPr>
            </w:pPr>
            <w:r w:rsidRPr="0069784D">
              <w:rPr>
                <w:lang w:val="nl-BE"/>
              </w:rPr>
              <w:t>Art. 382bis, 3°</w:t>
            </w:r>
          </w:p>
          <w:p w14:paraId="4CF783B7" w14:textId="477408FE" w:rsidR="00DD4815" w:rsidRPr="0069784D" w:rsidRDefault="00DD4815" w:rsidP="009C15CF">
            <w:pPr>
              <w:jc w:val="both"/>
              <w:rPr>
                <w:lang w:val="nl-BE"/>
              </w:rPr>
            </w:pPr>
            <w:r w:rsidRPr="0069784D">
              <w:rPr>
                <w:lang w:val="nl-BE"/>
              </w:rPr>
              <w:t xml:space="preserve">= enkel </w:t>
            </w:r>
            <w:r w:rsidR="00316596" w:rsidRPr="0069784D">
              <w:rPr>
                <w:lang w:val="nl-BE"/>
              </w:rPr>
              <w:t>bij</w:t>
            </w:r>
            <w:r w:rsidRPr="0069784D">
              <w:rPr>
                <w:lang w:val="nl-BE"/>
              </w:rPr>
              <w:t xml:space="preserve"> ten aanzien van of met behulp van minderjarigen gepleegde wanbedrijven </w:t>
            </w:r>
          </w:p>
        </w:tc>
        <w:tc>
          <w:tcPr>
            <w:tcW w:w="1797" w:type="dxa"/>
          </w:tcPr>
          <w:p w14:paraId="4E84DD78" w14:textId="77777777" w:rsidR="00DD4815" w:rsidRPr="0069784D" w:rsidRDefault="00DD4815" w:rsidP="009C15CF">
            <w:pPr>
              <w:jc w:val="both"/>
            </w:pPr>
            <w:r w:rsidRPr="0069784D">
              <w:t>Art. 417/59, §2, lid 5</w:t>
            </w:r>
          </w:p>
        </w:tc>
        <w:tc>
          <w:tcPr>
            <w:tcW w:w="1527" w:type="dxa"/>
          </w:tcPr>
          <w:p w14:paraId="5A312433" w14:textId="77777777" w:rsidR="00DD4815" w:rsidRPr="0069784D" w:rsidRDefault="00DD4815" w:rsidP="009C15CF">
            <w:pPr>
              <w:jc w:val="both"/>
            </w:pPr>
            <w:r w:rsidRPr="0069784D">
              <w:t>-</w:t>
            </w:r>
          </w:p>
        </w:tc>
        <w:tc>
          <w:tcPr>
            <w:tcW w:w="1797" w:type="dxa"/>
          </w:tcPr>
          <w:p w14:paraId="2A46B00A" w14:textId="69D223B8" w:rsidR="00DD4815" w:rsidRPr="0069784D" w:rsidRDefault="00DD4815" w:rsidP="009C15CF">
            <w:pPr>
              <w:jc w:val="both"/>
              <w:rPr>
                <w:lang w:val="nl-BE"/>
              </w:rPr>
            </w:pPr>
            <w:r w:rsidRPr="0069784D">
              <w:rPr>
                <w:lang w:val="nl-BE"/>
              </w:rPr>
              <w:t>Art. 433novies, §2 waarin wordt verwezen naar art. 417/59, §2</w:t>
            </w:r>
          </w:p>
          <w:p w14:paraId="74DC3E9B" w14:textId="4211FCAB" w:rsidR="00DD4815" w:rsidRPr="0069784D" w:rsidRDefault="00DD4815" w:rsidP="009C15CF">
            <w:pPr>
              <w:jc w:val="both"/>
              <w:rPr>
                <w:b/>
                <w:bCs/>
                <w:lang w:val="nl-BE"/>
              </w:rPr>
            </w:pPr>
            <w:r w:rsidRPr="0069784D">
              <w:rPr>
                <w:b/>
                <w:lang w:val="nl-BE"/>
              </w:rPr>
              <w:t xml:space="preserve">= van toepassing </w:t>
            </w:r>
            <w:r w:rsidR="00316596" w:rsidRPr="0069784D">
              <w:rPr>
                <w:b/>
                <w:lang w:val="nl-BE"/>
              </w:rPr>
              <w:t xml:space="preserve">bij </w:t>
            </w:r>
            <w:r w:rsidRPr="0069784D">
              <w:rPr>
                <w:b/>
                <w:lang w:val="nl-BE"/>
              </w:rPr>
              <w:t>meerderjarige en minderjarige slachtoffers</w:t>
            </w:r>
          </w:p>
          <w:p w14:paraId="405AAB62" w14:textId="77777777" w:rsidR="00DD4815" w:rsidRPr="0069784D" w:rsidRDefault="00DD4815" w:rsidP="009C15CF">
            <w:pPr>
              <w:jc w:val="both"/>
              <w:rPr>
                <w:b/>
                <w:bCs/>
                <w:lang w:val="nl-BE"/>
              </w:rPr>
            </w:pPr>
          </w:p>
        </w:tc>
      </w:tr>
      <w:tr w:rsidR="00316596" w:rsidRPr="001C6BF9" w14:paraId="271B3282" w14:textId="77777777" w:rsidTr="009558F6">
        <w:tc>
          <w:tcPr>
            <w:tcW w:w="2122" w:type="dxa"/>
          </w:tcPr>
          <w:p w14:paraId="1465A570" w14:textId="5E34A92C" w:rsidR="00DD4815" w:rsidRPr="0069784D" w:rsidRDefault="00DD4815" w:rsidP="009C15CF">
            <w:pPr>
              <w:jc w:val="both"/>
              <w:rPr>
                <w:lang w:val="nl-BE"/>
              </w:rPr>
            </w:pPr>
            <w:r w:rsidRPr="0069784D">
              <w:rPr>
                <w:b/>
                <w:bCs/>
                <w:lang w:val="nl-BE"/>
              </w:rPr>
              <w:t>Verbod om een horecazaak uit te baten of horeca</w:t>
            </w:r>
            <w:r w:rsidR="009558F6" w:rsidRPr="0069784D">
              <w:rPr>
                <w:b/>
                <w:bCs/>
                <w:lang w:val="nl-BE"/>
              </w:rPr>
              <w:t>-</w:t>
            </w:r>
            <w:r w:rsidRPr="0069784D">
              <w:rPr>
                <w:b/>
                <w:bCs/>
                <w:lang w:val="nl-BE"/>
              </w:rPr>
              <w:t>gerelateerde diensten aan te bieden</w:t>
            </w:r>
          </w:p>
        </w:tc>
        <w:tc>
          <w:tcPr>
            <w:tcW w:w="1773" w:type="dxa"/>
          </w:tcPr>
          <w:p w14:paraId="1A8866DF" w14:textId="77777777" w:rsidR="00DD4815" w:rsidRPr="0069784D" w:rsidRDefault="00DD4815" w:rsidP="009C15CF">
            <w:pPr>
              <w:jc w:val="both"/>
            </w:pPr>
            <w:r w:rsidRPr="0069784D">
              <w:t>Art. 382, §2</w:t>
            </w:r>
          </w:p>
        </w:tc>
        <w:tc>
          <w:tcPr>
            <w:tcW w:w="1797" w:type="dxa"/>
          </w:tcPr>
          <w:p w14:paraId="7DDF40CA" w14:textId="77777777" w:rsidR="00DD4815" w:rsidRPr="0069784D" w:rsidRDefault="00DD4815" w:rsidP="009C15CF">
            <w:pPr>
              <w:jc w:val="both"/>
              <w:rPr>
                <w:b/>
                <w:bCs/>
              </w:rPr>
            </w:pPr>
            <w:r w:rsidRPr="0069784D">
              <w:t xml:space="preserve">- </w:t>
            </w:r>
          </w:p>
        </w:tc>
        <w:tc>
          <w:tcPr>
            <w:tcW w:w="1527" w:type="dxa"/>
          </w:tcPr>
          <w:p w14:paraId="78C58608" w14:textId="77777777" w:rsidR="00DD4815" w:rsidRPr="0069784D" w:rsidRDefault="00DD4815" w:rsidP="009C15CF">
            <w:pPr>
              <w:jc w:val="both"/>
            </w:pPr>
            <w:r w:rsidRPr="0069784D">
              <w:t>Art. 433quater/6, lid 2</w:t>
            </w:r>
          </w:p>
        </w:tc>
        <w:tc>
          <w:tcPr>
            <w:tcW w:w="1797" w:type="dxa"/>
          </w:tcPr>
          <w:p w14:paraId="4CB3DC76" w14:textId="6EC476AF" w:rsidR="00DD4815" w:rsidRPr="0069784D" w:rsidRDefault="00DD4815" w:rsidP="009C15CF">
            <w:pPr>
              <w:jc w:val="both"/>
              <w:rPr>
                <w:lang w:val="nl-BE"/>
              </w:rPr>
            </w:pPr>
            <w:r w:rsidRPr="0069784D">
              <w:rPr>
                <w:lang w:val="nl-BE"/>
              </w:rPr>
              <w:t xml:space="preserve">Art. 433novies, §2, waarin wordt verwezen naar art. 433quater/6 </w:t>
            </w:r>
          </w:p>
          <w:p w14:paraId="2B1D88F0" w14:textId="77777777" w:rsidR="00DD4815" w:rsidRPr="0069784D" w:rsidRDefault="00DD4815" w:rsidP="009C15CF">
            <w:pPr>
              <w:jc w:val="both"/>
              <w:rPr>
                <w:lang w:val="nl-BE"/>
              </w:rPr>
            </w:pPr>
          </w:p>
        </w:tc>
      </w:tr>
      <w:tr w:rsidR="00316596" w:rsidRPr="001C6BF9" w14:paraId="15F13FD3" w14:textId="77777777" w:rsidTr="009558F6">
        <w:tc>
          <w:tcPr>
            <w:tcW w:w="2122" w:type="dxa"/>
          </w:tcPr>
          <w:p w14:paraId="596D7E77" w14:textId="77777777" w:rsidR="00DD4815" w:rsidRPr="0069784D" w:rsidRDefault="00DD4815" w:rsidP="009C15CF">
            <w:pPr>
              <w:jc w:val="both"/>
              <w:rPr>
                <w:b/>
                <w:bCs/>
                <w:lang w:val="nl-BE"/>
              </w:rPr>
            </w:pPr>
            <w:r w:rsidRPr="0069784D">
              <w:rPr>
                <w:b/>
                <w:lang w:val="nl-BE"/>
              </w:rPr>
              <w:t>Strafbaarstelling inzake de niet-naleving van de verboden</w:t>
            </w:r>
          </w:p>
        </w:tc>
        <w:tc>
          <w:tcPr>
            <w:tcW w:w="1773" w:type="dxa"/>
          </w:tcPr>
          <w:p w14:paraId="589981E2" w14:textId="77777777" w:rsidR="00DD4815" w:rsidRPr="0069784D" w:rsidRDefault="00DD4815" w:rsidP="009C15CF">
            <w:pPr>
              <w:jc w:val="both"/>
            </w:pPr>
            <w:r w:rsidRPr="0069784D">
              <w:t>Art. 389, §2-§4</w:t>
            </w:r>
          </w:p>
        </w:tc>
        <w:tc>
          <w:tcPr>
            <w:tcW w:w="1797" w:type="dxa"/>
          </w:tcPr>
          <w:p w14:paraId="14188F19" w14:textId="77777777" w:rsidR="00DD4815" w:rsidRPr="0069784D" w:rsidRDefault="00DD4815" w:rsidP="009C15CF">
            <w:pPr>
              <w:jc w:val="both"/>
              <w:rPr>
                <w:lang w:val="nl-BE"/>
              </w:rPr>
            </w:pPr>
            <w:r w:rsidRPr="0069784D">
              <w:rPr>
                <w:lang w:val="nl-BE"/>
              </w:rPr>
              <w:t xml:space="preserve">Art. 417/60 dat van toepassing is op de in de art. </w:t>
            </w:r>
          </w:p>
          <w:p w14:paraId="0D367D50" w14:textId="77777777" w:rsidR="00DD4815" w:rsidRPr="0069784D" w:rsidRDefault="00DD4815" w:rsidP="009C15CF">
            <w:pPr>
              <w:jc w:val="both"/>
            </w:pPr>
            <w:r w:rsidRPr="0069784D">
              <w:t xml:space="preserve">417/57, 417/58 en 417/59 vermelde verboden </w:t>
            </w:r>
          </w:p>
        </w:tc>
        <w:tc>
          <w:tcPr>
            <w:tcW w:w="1527" w:type="dxa"/>
          </w:tcPr>
          <w:p w14:paraId="7E72279F" w14:textId="77777777" w:rsidR="00DD4815" w:rsidRPr="0069784D" w:rsidRDefault="00DD4815" w:rsidP="009C15CF">
            <w:pPr>
              <w:jc w:val="both"/>
              <w:rPr>
                <w:lang w:val="nl-BE"/>
              </w:rPr>
            </w:pPr>
            <w:r w:rsidRPr="0069784D">
              <w:rPr>
                <w:lang w:val="nl-BE"/>
              </w:rPr>
              <w:t>Art. 433quater/7 dat van toepassing is op de in de art. 433quater/5 en 433quater/6 bepaalde verboden</w:t>
            </w:r>
          </w:p>
        </w:tc>
        <w:tc>
          <w:tcPr>
            <w:tcW w:w="1797" w:type="dxa"/>
          </w:tcPr>
          <w:p w14:paraId="7C66FC7D" w14:textId="77777777" w:rsidR="00DD4815" w:rsidRPr="0069784D" w:rsidRDefault="00DD4815" w:rsidP="009C15CF">
            <w:pPr>
              <w:jc w:val="both"/>
              <w:rPr>
                <w:lang w:val="nl-BE"/>
              </w:rPr>
            </w:pPr>
            <w:r w:rsidRPr="0069784D">
              <w:rPr>
                <w:lang w:val="nl-BE"/>
              </w:rPr>
              <w:t>Art. 433novies, §5 waarin wordt verwezen naar de art. 417/60 en 433quater/7 en waarin de art. 417/59, §3 en 433quater/6, lid 3 werden opgenomen wat de inwerkingtreding van het verbod betreft</w:t>
            </w:r>
          </w:p>
        </w:tc>
      </w:tr>
      <w:tr w:rsidR="00316596" w:rsidRPr="0069784D" w14:paraId="731BC96B" w14:textId="77777777" w:rsidTr="009558F6">
        <w:tc>
          <w:tcPr>
            <w:tcW w:w="2122" w:type="dxa"/>
          </w:tcPr>
          <w:p w14:paraId="632A313B" w14:textId="77777777" w:rsidR="00DD4815" w:rsidRPr="0069784D" w:rsidRDefault="00DD4815" w:rsidP="009C15CF">
            <w:pPr>
              <w:jc w:val="both"/>
              <w:rPr>
                <w:b/>
                <w:bCs/>
                <w:lang w:val="nl-BE"/>
              </w:rPr>
            </w:pPr>
            <w:r w:rsidRPr="0069784D">
              <w:rPr>
                <w:b/>
                <w:lang w:val="nl-BE"/>
              </w:rPr>
              <w:t>Samenloop van de in de art. 417/57 en 417/59 vastgelegde straffen (geen verwijzing naar art. 417/58)</w:t>
            </w:r>
          </w:p>
        </w:tc>
        <w:tc>
          <w:tcPr>
            <w:tcW w:w="1773" w:type="dxa"/>
          </w:tcPr>
          <w:p w14:paraId="64AF8B62" w14:textId="77777777" w:rsidR="00DD4815" w:rsidRPr="0069784D" w:rsidRDefault="00DD4815" w:rsidP="009C15CF">
            <w:pPr>
              <w:jc w:val="both"/>
            </w:pPr>
            <w:r w:rsidRPr="0069784D">
              <w:t>-</w:t>
            </w:r>
          </w:p>
        </w:tc>
        <w:tc>
          <w:tcPr>
            <w:tcW w:w="1797" w:type="dxa"/>
          </w:tcPr>
          <w:p w14:paraId="3D831E78" w14:textId="77777777" w:rsidR="00DD4815" w:rsidRPr="0069784D" w:rsidRDefault="00DD4815" w:rsidP="009C15CF">
            <w:pPr>
              <w:jc w:val="both"/>
              <w:rPr>
                <w:color w:val="4472C4" w:themeColor="accent5"/>
              </w:rPr>
            </w:pPr>
            <w:r w:rsidRPr="0069784D">
              <w:t>Art. 417/61</w:t>
            </w:r>
          </w:p>
        </w:tc>
        <w:tc>
          <w:tcPr>
            <w:tcW w:w="1527" w:type="dxa"/>
          </w:tcPr>
          <w:p w14:paraId="6A34C2B3" w14:textId="77777777" w:rsidR="00DD4815" w:rsidRPr="0069784D" w:rsidRDefault="00DD4815" w:rsidP="009C15CF">
            <w:pPr>
              <w:jc w:val="both"/>
            </w:pPr>
            <w:r w:rsidRPr="0069784D">
              <w:t>-</w:t>
            </w:r>
          </w:p>
        </w:tc>
        <w:tc>
          <w:tcPr>
            <w:tcW w:w="1797" w:type="dxa"/>
          </w:tcPr>
          <w:p w14:paraId="051E3675" w14:textId="77777777" w:rsidR="00DD4815" w:rsidRPr="0069784D" w:rsidRDefault="00DD4815" w:rsidP="009C15CF">
            <w:pPr>
              <w:jc w:val="both"/>
            </w:pPr>
            <w:r w:rsidRPr="0069784D">
              <w:t>-</w:t>
            </w:r>
          </w:p>
        </w:tc>
      </w:tr>
      <w:tr w:rsidR="00316596" w:rsidRPr="001C6BF9" w14:paraId="7E21E8C9" w14:textId="77777777" w:rsidTr="009558F6">
        <w:tc>
          <w:tcPr>
            <w:tcW w:w="2122" w:type="dxa"/>
          </w:tcPr>
          <w:p w14:paraId="0C0B0071" w14:textId="77777777" w:rsidR="00DD4815" w:rsidRPr="0069784D" w:rsidRDefault="00DD4815" w:rsidP="009C15CF">
            <w:pPr>
              <w:jc w:val="both"/>
              <w:rPr>
                <w:b/>
                <w:bCs/>
              </w:rPr>
            </w:pPr>
            <w:r w:rsidRPr="0069784D">
              <w:rPr>
                <w:b/>
              </w:rPr>
              <w:t>Overzending rechterlijke beslissing</w:t>
            </w:r>
          </w:p>
        </w:tc>
        <w:tc>
          <w:tcPr>
            <w:tcW w:w="1773" w:type="dxa"/>
          </w:tcPr>
          <w:p w14:paraId="1D1C9830" w14:textId="77777777" w:rsidR="00DD4815" w:rsidRPr="0069784D" w:rsidRDefault="00DD4815" w:rsidP="009C15CF">
            <w:pPr>
              <w:jc w:val="both"/>
            </w:pPr>
            <w:r w:rsidRPr="0069784D">
              <w:t xml:space="preserve">Art. 382quater </w:t>
            </w:r>
          </w:p>
          <w:p w14:paraId="6D07388F" w14:textId="77777777" w:rsidR="00DD4815" w:rsidRPr="0069784D" w:rsidRDefault="00DD4815" w:rsidP="009C15CF">
            <w:pPr>
              <w:jc w:val="both"/>
              <w:rPr>
                <w:lang w:val="fr-FR"/>
              </w:rPr>
            </w:pPr>
          </w:p>
        </w:tc>
        <w:tc>
          <w:tcPr>
            <w:tcW w:w="1797" w:type="dxa"/>
          </w:tcPr>
          <w:p w14:paraId="4911BEF5" w14:textId="77777777" w:rsidR="00DD4815" w:rsidRPr="0069784D" w:rsidRDefault="00DD4815" w:rsidP="009C15CF">
            <w:pPr>
              <w:jc w:val="both"/>
            </w:pPr>
            <w:r w:rsidRPr="0069784D">
              <w:t>Art. 417/62</w:t>
            </w:r>
          </w:p>
        </w:tc>
        <w:tc>
          <w:tcPr>
            <w:tcW w:w="1527" w:type="dxa"/>
          </w:tcPr>
          <w:p w14:paraId="48D7A454" w14:textId="77777777" w:rsidR="00DD4815" w:rsidRPr="0069784D" w:rsidRDefault="00DD4815" w:rsidP="009C15CF">
            <w:pPr>
              <w:jc w:val="both"/>
              <w:rPr>
                <w:b/>
                <w:bCs/>
              </w:rPr>
            </w:pPr>
            <w:r w:rsidRPr="0069784D">
              <w:rPr>
                <w:b/>
                <w:sz w:val="20"/>
              </w:rPr>
              <w:t xml:space="preserve">- </w:t>
            </w:r>
          </w:p>
        </w:tc>
        <w:tc>
          <w:tcPr>
            <w:tcW w:w="1797" w:type="dxa"/>
          </w:tcPr>
          <w:p w14:paraId="13C816DD" w14:textId="77777777" w:rsidR="00DD4815" w:rsidRPr="0069784D" w:rsidRDefault="00DD4815" w:rsidP="009C15CF">
            <w:pPr>
              <w:jc w:val="both"/>
              <w:rPr>
                <w:lang w:val="nl-BE"/>
              </w:rPr>
            </w:pPr>
            <w:r w:rsidRPr="0069784D">
              <w:rPr>
                <w:lang w:val="nl-BE"/>
              </w:rPr>
              <w:t xml:space="preserve">Art. 433novies, §3 waarin wordt verwezen naar art. 417/62  </w:t>
            </w:r>
          </w:p>
        </w:tc>
      </w:tr>
      <w:tr w:rsidR="00316596" w:rsidRPr="001C6BF9" w14:paraId="336AB8F6" w14:textId="77777777" w:rsidTr="009558F6">
        <w:tc>
          <w:tcPr>
            <w:tcW w:w="2122" w:type="dxa"/>
          </w:tcPr>
          <w:p w14:paraId="75EC5250" w14:textId="77777777" w:rsidR="00DD4815" w:rsidRPr="0069784D" w:rsidRDefault="00DD4815" w:rsidP="009C15CF">
            <w:pPr>
              <w:jc w:val="both"/>
              <w:rPr>
                <w:b/>
                <w:bCs/>
              </w:rPr>
            </w:pPr>
            <w:r w:rsidRPr="0069784D">
              <w:rPr>
                <w:b/>
              </w:rPr>
              <w:lastRenderedPageBreak/>
              <w:t>Bescherming identiteit slachtoffer</w:t>
            </w:r>
          </w:p>
        </w:tc>
        <w:tc>
          <w:tcPr>
            <w:tcW w:w="1773" w:type="dxa"/>
          </w:tcPr>
          <w:p w14:paraId="061ECB77" w14:textId="77777777" w:rsidR="00DD4815" w:rsidRPr="0069784D" w:rsidRDefault="00DD4815" w:rsidP="009C15CF">
            <w:pPr>
              <w:jc w:val="both"/>
            </w:pPr>
            <w:r w:rsidRPr="0069784D">
              <w:t>Art. 382quinquies</w:t>
            </w:r>
          </w:p>
        </w:tc>
        <w:tc>
          <w:tcPr>
            <w:tcW w:w="1797" w:type="dxa"/>
          </w:tcPr>
          <w:p w14:paraId="66704635" w14:textId="77777777" w:rsidR="00DD4815" w:rsidRPr="0069784D" w:rsidRDefault="00DD4815" w:rsidP="009C15CF">
            <w:pPr>
              <w:jc w:val="both"/>
              <w:rPr>
                <w:lang w:val="nl-BE"/>
              </w:rPr>
            </w:pPr>
            <w:r w:rsidRPr="0069784D">
              <w:rPr>
                <w:lang w:val="nl-BE"/>
              </w:rPr>
              <w:t>Art. 417/63</w:t>
            </w:r>
          </w:p>
          <w:p w14:paraId="7C423F02" w14:textId="572D387B" w:rsidR="00DD4815" w:rsidRPr="0069784D" w:rsidRDefault="00DD4815" w:rsidP="009C15CF">
            <w:pPr>
              <w:jc w:val="both"/>
              <w:rPr>
                <w:lang w:val="nl-BE"/>
              </w:rPr>
            </w:pPr>
            <w:r w:rsidRPr="0069784D">
              <w:rPr>
                <w:lang w:val="nl-BE"/>
              </w:rPr>
              <w:t>Toegevoegd lid: “Indien het slachtoffer minderjarig is, kan deze, noch de personen aan wie het ouderlijk gezag over de betrokkene is toevertrouwd, toestemming geven.”</w:t>
            </w:r>
          </w:p>
        </w:tc>
        <w:tc>
          <w:tcPr>
            <w:tcW w:w="1527" w:type="dxa"/>
          </w:tcPr>
          <w:p w14:paraId="1478352D" w14:textId="77777777" w:rsidR="00DD4815" w:rsidRPr="0069784D" w:rsidRDefault="00DD4815" w:rsidP="009C15CF">
            <w:pPr>
              <w:jc w:val="both"/>
            </w:pPr>
            <w:r w:rsidRPr="0069784D">
              <w:t>-</w:t>
            </w:r>
          </w:p>
        </w:tc>
        <w:tc>
          <w:tcPr>
            <w:tcW w:w="1797" w:type="dxa"/>
          </w:tcPr>
          <w:p w14:paraId="629CC627" w14:textId="77777777" w:rsidR="00DD4815" w:rsidRPr="0069784D" w:rsidRDefault="00DD4815" w:rsidP="009C15CF">
            <w:pPr>
              <w:jc w:val="both"/>
              <w:rPr>
                <w:lang w:val="nl-BE"/>
              </w:rPr>
            </w:pPr>
            <w:r w:rsidRPr="0069784D">
              <w:rPr>
                <w:lang w:val="nl-BE"/>
              </w:rPr>
              <w:t>Art. 433novies/1 waarin wordt verwezen naar art. 417/63</w:t>
            </w:r>
          </w:p>
        </w:tc>
      </w:tr>
      <w:tr w:rsidR="00316596" w:rsidRPr="0069784D" w14:paraId="075E004B" w14:textId="77777777" w:rsidTr="009558F6">
        <w:tc>
          <w:tcPr>
            <w:tcW w:w="2122" w:type="dxa"/>
          </w:tcPr>
          <w:p w14:paraId="20467356" w14:textId="77777777" w:rsidR="00DD4815" w:rsidRPr="0069784D" w:rsidRDefault="00DD4815" w:rsidP="009C15CF">
            <w:pPr>
              <w:jc w:val="both"/>
              <w:rPr>
                <w:b/>
                <w:bCs/>
                <w:lang w:val="nl-BE"/>
              </w:rPr>
            </w:pPr>
            <w:r w:rsidRPr="0069784D">
              <w:rPr>
                <w:b/>
                <w:lang w:val="nl-BE"/>
              </w:rPr>
              <w:t>Advies van een dienst gespecialiseerd in de begeleiding of behandeling van seksuele delinquenten</w:t>
            </w:r>
          </w:p>
        </w:tc>
        <w:tc>
          <w:tcPr>
            <w:tcW w:w="1773" w:type="dxa"/>
          </w:tcPr>
          <w:p w14:paraId="49C36609" w14:textId="25C49C4D" w:rsidR="00DD4815" w:rsidRPr="0069784D" w:rsidRDefault="00DD4815" w:rsidP="009C15CF">
            <w:pPr>
              <w:jc w:val="both"/>
              <w:rPr>
                <w:lang w:val="nl-BE"/>
              </w:rPr>
            </w:pPr>
            <w:r w:rsidRPr="0069784D">
              <w:rPr>
                <w:lang w:val="nl-BE"/>
              </w:rPr>
              <w:t xml:space="preserve">Art. 9bis van de wet van 29 juni 1964 betreffende de opschorting, het uitstel en de probatie, </w:t>
            </w:r>
            <w:r w:rsidR="00316596" w:rsidRPr="0069784D">
              <w:rPr>
                <w:lang w:val="nl-BE"/>
              </w:rPr>
              <w:t>bij</w:t>
            </w:r>
            <w:r w:rsidRPr="0069784D">
              <w:rPr>
                <w:lang w:val="nl-BE"/>
              </w:rPr>
              <w:t xml:space="preserve"> ten aanzien van of met behulp van minderjarigen gepleegde feiten</w:t>
            </w:r>
          </w:p>
          <w:p w14:paraId="682E3F29" w14:textId="77777777" w:rsidR="00DD4815" w:rsidRPr="0069784D" w:rsidRDefault="00DD4815" w:rsidP="009C15CF">
            <w:pPr>
              <w:jc w:val="both"/>
              <w:rPr>
                <w:b/>
                <w:lang w:val="nl-BE"/>
              </w:rPr>
            </w:pPr>
            <w:r w:rsidRPr="0069784D">
              <w:rPr>
                <w:b/>
                <w:lang w:val="nl-BE"/>
              </w:rPr>
              <w:t>Verplicht ingeval probatiemaatregelen worden opgelegd</w:t>
            </w:r>
          </w:p>
        </w:tc>
        <w:tc>
          <w:tcPr>
            <w:tcW w:w="1797" w:type="dxa"/>
          </w:tcPr>
          <w:p w14:paraId="5139E435" w14:textId="77777777" w:rsidR="00DD4815" w:rsidRPr="0069784D" w:rsidRDefault="00DD4815" w:rsidP="009C15CF">
            <w:pPr>
              <w:jc w:val="both"/>
            </w:pPr>
            <w:r w:rsidRPr="0069784D">
              <w:t>Art. 417/64</w:t>
            </w:r>
          </w:p>
          <w:p w14:paraId="34F496B4" w14:textId="77777777" w:rsidR="00DD4815" w:rsidRPr="0069784D" w:rsidRDefault="00DD4815" w:rsidP="009C15CF">
            <w:pPr>
              <w:jc w:val="both"/>
              <w:rPr>
                <w:b/>
              </w:rPr>
            </w:pPr>
            <w:r w:rsidRPr="0069784D">
              <w:rPr>
                <w:b/>
              </w:rPr>
              <w:t>Facultatief</w:t>
            </w:r>
          </w:p>
        </w:tc>
        <w:tc>
          <w:tcPr>
            <w:tcW w:w="1527" w:type="dxa"/>
          </w:tcPr>
          <w:p w14:paraId="26463BE1" w14:textId="020A19A7" w:rsidR="00DD4815" w:rsidRPr="0069784D" w:rsidRDefault="00DD4815" w:rsidP="009C15CF">
            <w:pPr>
              <w:jc w:val="both"/>
              <w:rPr>
                <w:lang w:val="nl-BE"/>
              </w:rPr>
            </w:pPr>
            <w:r w:rsidRPr="0069784D">
              <w:rPr>
                <w:lang w:val="nl-BE"/>
              </w:rPr>
              <w:t xml:space="preserve">Art. 9bis van de wet van 29 juni 1964, </w:t>
            </w:r>
            <w:r w:rsidR="00316596" w:rsidRPr="0069784D">
              <w:rPr>
                <w:lang w:val="nl-BE"/>
              </w:rPr>
              <w:t>bij</w:t>
            </w:r>
            <w:r w:rsidRPr="0069784D">
              <w:rPr>
                <w:lang w:val="nl-BE"/>
              </w:rPr>
              <w:t xml:space="preserve"> ten aanzien van of met behulp van minderjarigen gepleegde feiten met verwijzing naar art. 116</w:t>
            </w:r>
          </w:p>
          <w:p w14:paraId="6F73DAF6" w14:textId="77777777" w:rsidR="00DD4815" w:rsidRPr="0069784D" w:rsidRDefault="00DD4815" w:rsidP="009C15CF">
            <w:pPr>
              <w:jc w:val="both"/>
              <w:rPr>
                <w:b/>
              </w:rPr>
            </w:pPr>
            <w:r w:rsidRPr="0069784D">
              <w:rPr>
                <w:b/>
              </w:rPr>
              <w:t>Facultatief</w:t>
            </w:r>
          </w:p>
        </w:tc>
        <w:tc>
          <w:tcPr>
            <w:tcW w:w="1797" w:type="dxa"/>
          </w:tcPr>
          <w:p w14:paraId="4AA4005C" w14:textId="77777777" w:rsidR="00DD4815" w:rsidRPr="0069784D" w:rsidRDefault="00DD4815" w:rsidP="009C15CF">
            <w:pPr>
              <w:jc w:val="both"/>
            </w:pPr>
            <w:r w:rsidRPr="0069784D">
              <w:t>-</w:t>
            </w:r>
          </w:p>
          <w:p w14:paraId="10AE9FF8" w14:textId="77777777" w:rsidR="00DD4815" w:rsidRPr="0069784D" w:rsidRDefault="00DD4815" w:rsidP="009C15CF">
            <w:pPr>
              <w:jc w:val="both"/>
              <w:rPr>
                <w:lang w:val="fr-FR"/>
              </w:rPr>
            </w:pPr>
          </w:p>
          <w:p w14:paraId="163B98B4" w14:textId="77777777" w:rsidR="00DD4815" w:rsidRPr="0069784D" w:rsidRDefault="00DD4815" w:rsidP="009C15CF">
            <w:pPr>
              <w:jc w:val="both"/>
              <w:rPr>
                <w:lang w:val="fr-FR"/>
              </w:rPr>
            </w:pPr>
          </w:p>
        </w:tc>
      </w:tr>
      <w:tr w:rsidR="00316596" w:rsidRPr="001C6BF9" w14:paraId="4490EEFD" w14:textId="77777777" w:rsidTr="009558F6">
        <w:tc>
          <w:tcPr>
            <w:tcW w:w="2122" w:type="dxa"/>
          </w:tcPr>
          <w:p w14:paraId="3C3DFAFD" w14:textId="254AF5B2" w:rsidR="00DD4815" w:rsidRPr="0069784D" w:rsidRDefault="00DD4815" w:rsidP="009C15CF">
            <w:pPr>
              <w:jc w:val="both"/>
              <w:rPr>
                <w:b/>
                <w:bCs/>
                <w:lang w:val="nl-BE"/>
              </w:rPr>
            </w:pPr>
            <w:r w:rsidRPr="0069784D">
              <w:rPr>
                <w:b/>
                <w:lang w:val="nl-BE"/>
              </w:rPr>
              <w:t>Verbeurd</w:t>
            </w:r>
            <w:r w:rsidR="009558F6" w:rsidRPr="0069784D">
              <w:rPr>
                <w:b/>
                <w:lang w:val="nl-BE"/>
              </w:rPr>
              <w:t>-</w:t>
            </w:r>
            <w:r w:rsidRPr="0069784D">
              <w:rPr>
                <w:b/>
                <w:lang w:val="nl-BE"/>
              </w:rPr>
              <w:t>verklaring van het instrument van het misdrijf</w:t>
            </w:r>
          </w:p>
        </w:tc>
        <w:tc>
          <w:tcPr>
            <w:tcW w:w="1773" w:type="dxa"/>
          </w:tcPr>
          <w:p w14:paraId="30D2892A" w14:textId="77777777" w:rsidR="00DD4815" w:rsidRPr="0069784D" w:rsidRDefault="00DD4815" w:rsidP="009C15CF">
            <w:pPr>
              <w:jc w:val="both"/>
              <w:rPr>
                <w:lang w:val="nl-BE"/>
              </w:rPr>
            </w:pPr>
            <w:r w:rsidRPr="0069784D">
              <w:rPr>
                <w:lang w:val="nl-BE"/>
              </w:rPr>
              <w:t>Art. 382ter</w:t>
            </w:r>
          </w:p>
          <w:p w14:paraId="17E4CE27" w14:textId="77777777" w:rsidR="00DD4815" w:rsidRPr="0069784D" w:rsidRDefault="00DD4815" w:rsidP="009C15CF">
            <w:pPr>
              <w:jc w:val="both"/>
              <w:rPr>
                <w:lang w:val="nl-BE"/>
              </w:rPr>
            </w:pPr>
            <w:r w:rsidRPr="0069784D">
              <w:rPr>
                <w:lang w:val="nl-BE"/>
              </w:rPr>
              <w:t>Verwijzing naar art. 35 van het Wetboek van Strafvordering</w:t>
            </w:r>
          </w:p>
          <w:p w14:paraId="3FC562FE" w14:textId="77777777" w:rsidR="00DD4815" w:rsidRPr="0069784D" w:rsidRDefault="00DD4815" w:rsidP="009C15CF">
            <w:pPr>
              <w:jc w:val="both"/>
              <w:rPr>
                <w:lang w:val="nl-BE"/>
              </w:rPr>
            </w:pPr>
            <w:r w:rsidRPr="0069784D">
              <w:rPr>
                <w:lang w:val="nl-BE"/>
              </w:rPr>
              <w:t>Verwijzing naar de verbeurdverklaring van de tegenwaarde</w:t>
            </w:r>
          </w:p>
        </w:tc>
        <w:tc>
          <w:tcPr>
            <w:tcW w:w="1797" w:type="dxa"/>
          </w:tcPr>
          <w:p w14:paraId="1273864A" w14:textId="77777777" w:rsidR="00DD4815" w:rsidRPr="0069784D" w:rsidRDefault="00DD4815" w:rsidP="009C15CF">
            <w:pPr>
              <w:jc w:val="both"/>
              <w:rPr>
                <w:lang w:val="nl-BE"/>
              </w:rPr>
            </w:pPr>
            <w:r w:rsidRPr="0069784D">
              <w:rPr>
                <w:lang w:val="nl-BE"/>
              </w:rPr>
              <w:t>Art. 417/42</w:t>
            </w:r>
          </w:p>
          <w:p w14:paraId="74F37A74" w14:textId="77777777" w:rsidR="00DD4815" w:rsidRPr="0069784D" w:rsidRDefault="00DD4815" w:rsidP="009C15CF">
            <w:pPr>
              <w:jc w:val="both"/>
              <w:rPr>
                <w:lang w:val="nl-BE"/>
              </w:rPr>
            </w:pPr>
            <w:r w:rsidRPr="0069784D">
              <w:rPr>
                <w:lang w:val="nl-BE"/>
              </w:rPr>
              <w:t>Geen verwijzing meer naar art. 35 van het Wetboek van Strafvordering</w:t>
            </w:r>
          </w:p>
          <w:p w14:paraId="11318E33" w14:textId="4C658A6C" w:rsidR="00DD4815" w:rsidRPr="0069784D" w:rsidRDefault="00DD4815" w:rsidP="009C15CF">
            <w:pPr>
              <w:jc w:val="both"/>
              <w:rPr>
                <w:lang w:val="nl-BE"/>
              </w:rPr>
            </w:pPr>
            <w:r w:rsidRPr="0069784D">
              <w:rPr>
                <w:lang w:val="nl-BE"/>
              </w:rPr>
              <w:t>Geen verwijzing meer naar de verbeurd</w:t>
            </w:r>
            <w:r w:rsidR="00316596" w:rsidRPr="0069784D">
              <w:rPr>
                <w:lang w:val="nl-BE"/>
              </w:rPr>
              <w:t>-</w:t>
            </w:r>
            <w:r w:rsidRPr="0069784D">
              <w:rPr>
                <w:lang w:val="nl-BE"/>
              </w:rPr>
              <w:t>verklaring van de tegenwaarde</w:t>
            </w:r>
          </w:p>
        </w:tc>
        <w:tc>
          <w:tcPr>
            <w:tcW w:w="1527" w:type="dxa"/>
          </w:tcPr>
          <w:p w14:paraId="3528FAD1" w14:textId="77777777" w:rsidR="00DD4815" w:rsidRPr="0069784D" w:rsidRDefault="00DD4815" w:rsidP="009C15CF">
            <w:pPr>
              <w:jc w:val="both"/>
              <w:rPr>
                <w:b/>
                <w:bCs/>
              </w:rPr>
            </w:pPr>
            <w:r w:rsidRPr="0069784D">
              <w:rPr>
                <w:b/>
              </w:rPr>
              <w:t xml:space="preserve">- </w:t>
            </w:r>
          </w:p>
        </w:tc>
        <w:tc>
          <w:tcPr>
            <w:tcW w:w="1797" w:type="dxa"/>
          </w:tcPr>
          <w:p w14:paraId="002AF7ED" w14:textId="77777777" w:rsidR="00DD4815" w:rsidRPr="0069784D" w:rsidRDefault="00DD4815" w:rsidP="009C15CF">
            <w:pPr>
              <w:jc w:val="both"/>
              <w:rPr>
                <w:lang w:val="nl-BE"/>
              </w:rPr>
            </w:pPr>
            <w:r w:rsidRPr="0069784D">
              <w:rPr>
                <w:lang w:val="nl-BE"/>
              </w:rPr>
              <w:t>Art. 433novies, §6 en §7</w:t>
            </w:r>
          </w:p>
          <w:p w14:paraId="0B75E3F7" w14:textId="77777777" w:rsidR="00DD4815" w:rsidRPr="0069784D" w:rsidRDefault="00DD4815" w:rsidP="009C15CF">
            <w:pPr>
              <w:jc w:val="both"/>
              <w:rPr>
                <w:lang w:val="nl-BE"/>
              </w:rPr>
            </w:pPr>
            <w:r w:rsidRPr="0069784D">
              <w:rPr>
                <w:lang w:val="nl-BE"/>
              </w:rPr>
              <w:t>Verwijzing naar art. 35 van het Wetboek van Strafvordering</w:t>
            </w:r>
          </w:p>
          <w:p w14:paraId="44B73C4B" w14:textId="77777777" w:rsidR="00DD4815" w:rsidRPr="0069784D" w:rsidRDefault="00DD4815" w:rsidP="009C15CF">
            <w:pPr>
              <w:jc w:val="both"/>
              <w:rPr>
                <w:lang w:val="nl-BE"/>
              </w:rPr>
            </w:pPr>
            <w:r w:rsidRPr="0069784D">
              <w:rPr>
                <w:lang w:val="nl-BE"/>
              </w:rPr>
              <w:t>Verwijzing naar de verbeurdverklaring van de tegenwaarde</w:t>
            </w:r>
          </w:p>
        </w:tc>
      </w:tr>
    </w:tbl>
    <w:p w14:paraId="072D4418" w14:textId="77777777" w:rsidR="00DD4815" w:rsidRPr="0069784D" w:rsidRDefault="00DD4815" w:rsidP="009C15CF">
      <w:pPr>
        <w:jc w:val="both"/>
        <w:rPr>
          <w:lang w:val="nl-BE"/>
        </w:rPr>
      </w:pPr>
    </w:p>
    <w:p w14:paraId="6E99FA93" w14:textId="68E9E0B4" w:rsidR="00DD4815" w:rsidRPr="00022C32" w:rsidRDefault="00DD4815" w:rsidP="009C15CF">
      <w:pPr>
        <w:pStyle w:val="Heading3"/>
        <w:jc w:val="both"/>
        <w:rPr>
          <w:rFonts w:asciiTheme="minorHAnsi" w:hAnsiTheme="minorHAnsi"/>
          <w:color w:val="auto"/>
          <w:sz w:val="28"/>
          <w:u w:val="single"/>
          <w:lang w:val="nl-BE"/>
        </w:rPr>
      </w:pPr>
      <w:r w:rsidRPr="00022C32">
        <w:rPr>
          <w:rFonts w:asciiTheme="minorHAnsi" w:hAnsiTheme="minorHAnsi"/>
          <w:color w:val="auto"/>
          <w:sz w:val="28"/>
          <w:u w:val="single"/>
          <w:lang w:val="nl-BE"/>
        </w:rPr>
        <w:t>Geen onnodige strafbaarstellingen</w:t>
      </w:r>
      <w:r w:rsidR="00022C32" w:rsidRPr="00022C32">
        <w:rPr>
          <w:rFonts w:asciiTheme="minorHAnsi" w:hAnsiTheme="minorHAnsi"/>
          <w:color w:val="auto"/>
          <w:sz w:val="28"/>
          <w:u w:val="single"/>
          <w:lang w:val="nl-BE"/>
        </w:rPr>
        <w:t>:</w:t>
      </w:r>
    </w:p>
    <w:p w14:paraId="2E75F397" w14:textId="77777777" w:rsidR="00D703D6" w:rsidRDefault="00D703D6" w:rsidP="009C15CF">
      <w:pPr>
        <w:jc w:val="both"/>
        <w:rPr>
          <w:lang w:val="nl-BE"/>
        </w:rPr>
      </w:pPr>
    </w:p>
    <w:p w14:paraId="242EB98A" w14:textId="6E7C37CF" w:rsidR="00DD4815" w:rsidRPr="0069784D" w:rsidRDefault="00DD4815" w:rsidP="009C15CF">
      <w:pPr>
        <w:jc w:val="both"/>
        <w:rPr>
          <w:lang w:val="nl-BE"/>
        </w:rPr>
      </w:pPr>
      <w:r w:rsidRPr="0069784D">
        <w:rPr>
          <w:lang w:val="nl-BE"/>
        </w:rPr>
        <w:t xml:space="preserve">Er </w:t>
      </w:r>
      <w:r w:rsidR="005C7F41" w:rsidRPr="0069784D">
        <w:rPr>
          <w:lang w:val="nl-BE"/>
        </w:rPr>
        <w:t>kan aan herinnerd worden</w:t>
      </w:r>
      <w:r w:rsidRPr="0069784D">
        <w:rPr>
          <w:lang w:val="nl-BE"/>
        </w:rPr>
        <w:t xml:space="preserve"> dat het gemeen strafrecht van toepassing blijft.</w:t>
      </w:r>
    </w:p>
    <w:p w14:paraId="2F909868" w14:textId="12E3FD2B" w:rsidR="00DD4815" w:rsidRPr="0069784D" w:rsidRDefault="00DD4815" w:rsidP="009C15CF">
      <w:pPr>
        <w:jc w:val="both"/>
        <w:rPr>
          <w:lang w:val="nl-BE"/>
        </w:rPr>
      </w:pPr>
      <w:r w:rsidRPr="0069784D">
        <w:rPr>
          <w:lang w:val="nl-BE"/>
        </w:rPr>
        <w:lastRenderedPageBreak/>
        <w:t xml:space="preserve">De wetgever benadrukte </w:t>
      </w:r>
      <w:r w:rsidR="005C7F41" w:rsidRPr="0069784D">
        <w:rPr>
          <w:lang w:val="nl-BE"/>
        </w:rPr>
        <w:t xml:space="preserve">immers </w:t>
      </w:r>
      <w:r w:rsidR="00D751F5" w:rsidRPr="00DB5444">
        <w:rPr>
          <w:lang w:val="nl-BE"/>
        </w:rPr>
        <w:t>geen nutteloze strafbaarstellingen t</w:t>
      </w:r>
      <w:r w:rsidR="00D751F5">
        <w:rPr>
          <w:lang w:val="nl-BE"/>
        </w:rPr>
        <w:t>e willen voorzien</w:t>
      </w:r>
      <w:r w:rsidRPr="0069784D">
        <w:rPr>
          <w:rStyle w:val="FootnoteReference"/>
          <w:lang w:val="nl-BE"/>
        </w:rPr>
        <w:footnoteReference w:customMarkFollows="1" w:id="83"/>
        <w:t>83</w:t>
      </w:r>
      <w:r w:rsidR="005C7F41" w:rsidRPr="0069784D">
        <w:rPr>
          <w:lang w:val="nl-BE"/>
        </w:rPr>
        <w:t>.</w:t>
      </w:r>
    </w:p>
    <w:p w14:paraId="5933AD3D" w14:textId="24476FC7" w:rsidR="00DD4815" w:rsidRPr="0069784D" w:rsidRDefault="00DD4815" w:rsidP="009C15CF">
      <w:pPr>
        <w:jc w:val="both"/>
        <w:rPr>
          <w:lang w:val="nl-BE"/>
        </w:rPr>
      </w:pPr>
      <w:r w:rsidRPr="0069784D">
        <w:rPr>
          <w:lang w:val="nl-BE"/>
        </w:rPr>
        <w:t>Zo is er geen nood aan een nieuwe strafbaarstelling</w:t>
      </w:r>
      <w:r w:rsidR="005C7F41" w:rsidRPr="0069784D">
        <w:rPr>
          <w:lang w:val="nl-BE"/>
        </w:rPr>
        <w:t xml:space="preserve"> </w:t>
      </w:r>
      <w:r w:rsidRPr="0069784D">
        <w:rPr>
          <w:lang w:val="nl-BE"/>
        </w:rPr>
        <w:t xml:space="preserve">met betrekking tot </w:t>
      </w:r>
      <w:r w:rsidRPr="0069784D">
        <w:rPr>
          <w:b/>
          <w:bCs/>
          <w:i/>
          <w:iCs/>
          <w:lang w:val="nl-BE"/>
        </w:rPr>
        <w:t>sextortion</w:t>
      </w:r>
      <w:r w:rsidR="00B95CC5" w:rsidRPr="0069784D">
        <w:rPr>
          <w:rStyle w:val="FootnoteReference"/>
          <w:lang w:val="nl-BE"/>
        </w:rPr>
        <w:footnoteReference w:customMarkFollows="1" w:id="84"/>
        <w:t>84</w:t>
      </w:r>
      <w:r w:rsidRPr="0069784D">
        <w:rPr>
          <w:lang w:val="nl-BE"/>
        </w:rPr>
        <w:t> (</w:t>
      </w:r>
      <w:r w:rsidR="00D751F5" w:rsidRPr="00DB5444">
        <w:rPr>
          <w:lang w:val="nl-BE"/>
        </w:rPr>
        <w:t>waarvoor geen specifieke s</w:t>
      </w:r>
      <w:r w:rsidR="00D751F5">
        <w:rPr>
          <w:lang w:val="nl-BE"/>
        </w:rPr>
        <w:t>trafbaarstelling werd voorzien</w:t>
      </w:r>
      <w:r w:rsidRPr="0069784D">
        <w:rPr>
          <w:lang w:val="nl-BE"/>
        </w:rPr>
        <w:t xml:space="preserve">, maar </w:t>
      </w:r>
      <w:r w:rsidR="00D751F5">
        <w:rPr>
          <w:lang w:val="nl-BE"/>
        </w:rPr>
        <w:t xml:space="preserve">dat </w:t>
      </w:r>
      <w:r w:rsidRPr="0069784D">
        <w:rPr>
          <w:lang w:val="nl-BE"/>
        </w:rPr>
        <w:t>strafbaar kan worden gesteld als een vorm van afpersing)</w:t>
      </w:r>
      <w:r w:rsidR="000678A8">
        <w:rPr>
          <w:lang w:val="nl-BE"/>
        </w:rPr>
        <w:t>, en</w:t>
      </w:r>
      <w:r w:rsidRPr="0069784D">
        <w:rPr>
          <w:lang w:val="nl-BE"/>
        </w:rPr>
        <w:t xml:space="preserve"> </w:t>
      </w:r>
      <w:r w:rsidR="00D751F5">
        <w:rPr>
          <w:lang w:val="nl-BE"/>
        </w:rPr>
        <w:t>e</w:t>
      </w:r>
      <w:r w:rsidR="00D751F5" w:rsidRPr="00D36A7C">
        <w:rPr>
          <w:lang w:val="nl-BE"/>
        </w:rPr>
        <w:t>venmin voor</w:t>
      </w:r>
      <w:r w:rsidRPr="0069784D">
        <w:rPr>
          <w:lang w:val="nl-BE"/>
        </w:rPr>
        <w:t xml:space="preserve"> de verzending van </w:t>
      </w:r>
      <w:r w:rsidRPr="0069784D">
        <w:rPr>
          <w:b/>
          <w:bCs/>
          <w:i/>
          <w:iCs/>
          <w:lang w:val="nl-BE"/>
        </w:rPr>
        <w:t>dickpicks</w:t>
      </w:r>
      <w:r w:rsidR="00B95CC5" w:rsidRPr="0069784D">
        <w:rPr>
          <w:rStyle w:val="FootnoteReference"/>
          <w:lang w:val="nl-BE"/>
        </w:rPr>
        <w:footnoteReference w:customMarkFollows="1" w:id="85"/>
        <w:t>85</w:t>
      </w:r>
      <w:r w:rsidR="00140E60" w:rsidRPr="0069784D">
        <w:rPr>
          <w:lang w:val="nl-BE"/>
        </w:rPr>
        <w:t>,</w:t>
      </w:r>
      <w:r w:rsidR="00F04974">
        <w:rPr>
          <w:lang w:val="nl-BE"/>
        </w:rPr>
        <w:t xml:space="preserve"> dat</w:t>
      </w:r>
      <w:r w:rsidRPr="0069784D">
        <w:rPr>
          <w:lang w:val="nl-BE"/>
        </w:rPr>
        <w:t xml:space="preserve"> niet onder het toepassingsgebied van de strafbaarstelling inzake exhibitionisme valt, maar </w:t>
      </w:r>
      <w:r w:rsidR="00F04974">
        <w:rPr>
          <w:lang w:val="nl-BE"/>
        </w:rPr>
        <w:t xml:space="preserve">dat </w:t>
      </w:r>
      <w:r w:rsidR="005C7F41" w:rsidRPr="0069784D">
        <w:rPr>
          <w:lang w:val="nl-BE"/>
        </w:rPr>
        <w:t>als</w:t>
      </w:r>
      <w:r w:rsidRPr="0069784D">
        <w:rPr>
          <w:lang w:val="nl-BE"/>
        </w:rPr>
        <w:t xml:space="preserve"> belaging of het misbruik van een telecommunicatiemiddel</w:t>
      </w:r>
      <w:r w:rsidR="005C7F41" w:rsidRPr="0069784D">
        <w:rPr>
          <w:lang w:val="nl-BE"/>
        </w:rPr>
        <w:t xml:space="preserve"> strafbaar gesteld kan worden</w:t>
      </w:r>
      <w:r w:rsidRPr="0069784D">
        <w:rPr>
          <w:lang w:val="nl-BE"/>
        </w:rPr>
        <w:t>.</w:t>
      </w:r>
    </w:p>
    <w:p w14:paraId="2E89E6BC" w14:textId="6005F346" w:rsidR="00DD4815" w:rsidRPr="0069784D" w:rsidRDefault="005C7F41" w:rsidP="009C15CF">
      <w:pPr>
        <w:jc w:val="both"/>
        <w:rPr>
          <w:lang w:val="nl-BE"/>
        </w:rPr>
      </w:pPr>
      <w:r w:rsidRPr="0069784D">
        <w:rPr>
          <w:lang w:val="nl-BE"/>
        </w:rPr>
        <w:t>De</w:t>
      </w:r>
      <w:r w:rsidR="00DD4815" w:rsidRPr="0069784D">
        <w:rPr>
          <w:lang w:val="nl-BE"/>
        </w:rPr>
        <w:t xml:space="preserve"> wetgever </w:t>
      </w:r>
      <w:r w:rsidRPr="0069784D">
        <w:rPr>
          <w:lang w:val="nl-BE"/>
        </w:rPr>
        <w:t xml:space="preserve">heeft </w:t>
      </w:r>
      <w:r w:rsidR="00F04974" w:rsidRPr="00D82EF9">
        <w:rPr>
          <w:lang w:val="nl-BE"/>
        </w:rPr>
        <w:t>met de wet op</w:t>
      </w:r>
      <w:r w:rsidR="00F04974">
        <w:rPr>
          <w:lang w:val="nl-BE"/>
        </w:rPr>
        <w:t xml:space="preserve"> het seksueel strafrecht evenmin</w:t>
      </w:r>
      <w:r w:rsidR="00F04974" w:rsidRPr="0069784D">
        <w:rPr>
          <w:lang w:val="nl-BE"/>
        </w:rPr>
        <w:t xml:space="preserve"> </w:t>
      </w:r>
      <w:r w:rsidR="00140E60" w:rsidRPr="0069784D">
        <w:rPr>
          <w:lang w:val="nl-BE"/>
        </w:rPr>
        <w:t xml:space="preserve">elke vorm van </w:t>
      </w:r>
      <w:r w:rsidR="00DD4815" w:rsidRPr="0069784D">
        <w:rPr>
          <w:lang w:val="nl-BE"/>
        </w:rPr>
        <w:t xml:space="preserve">verbaal seksueel </w:t>
      </w:r>
      <w:r w:rsidR="00F04974" w:rsidRPr="00D82EF9">
        <w:rPr>
          <w:lang w:val="nl-BE"/>
        </w:rPr>
        <w:t xml:space="preserve">geweld </w:t>
      </w:r>
      <w:r w:rsidR="00F04974">
        <w:rPr>
          <w:lang w:val="nl-BE"/>
        </w:rPr>
        <w:t xml:space="preserve">apart </w:t>
      </w:r>
      <w:r w:rsidR="00F04974" w:rsidRPr="00D82EF9">
        <w:rPr>
          <w:lang w:val="nl-BE"/>
        </w:rPr>
        <w:t>willen s</w:t>
      </w:r>
      <w:r w:rsidR="00F04974">
        <w:rPr>
          <w:lang w:val="nl-BE"/>
        </w:rPr>
        <w:t>trafbaar stellen</w:t>
      </w:r>
      <w:r w:rsidR="00DD4815" w:rsidRPr="0069784D">
        <w:rPr>
          <w:rStyle w:val="FootnoteReference"/>
          <w:lang w:val="nl-BE"/>
        </w:rPr>
        <w:footnoteReference w:customMarkFollows="1" w:id="86"/>
        <w:t>86</w:t>
      </w:r>
      <w:r w:rsidR="00DD4815" w:rsidRPr="0069784D">
        <w:rPr>
          <w:lang w:val="nl-BE"/>
        </w:rPr>
        <w:t xml:space="preserve">. Er wordt </w:t>
      </w:r>
      <w:r w:rsidRPr="0069784D">
        <w:rPr>
          <w:lang w:val="nl-BE"/>
        </w:rPr>
        <w:t xml:space="preserve">meer bepaald </w:t>
      </w:r>
      <w:r w:rsidR="00DD4815" w:rsidRPr="0069784D">
        <w:rPr>
          <w:lang w:val="nl-BE"/>
        </w:rPr>
        <w:t>gesuggereerd om dit soort feiten strafbaar te stellen als een vorm van belaging of ernstig seksisme in het openbaar.</w:t>
      </w:r>
    </w:p>
    <w:p w14:paraId="7B659183" w14:textId="59A839B0" w:rsidR="00DD4815" w:rsidRPr="0069784D" w:rsidRDefault="00DD4815" w:rsidP="009C15CF">
      <w:pPr>
        <w:jc w:val="both"/>
        <w:rPr>
          <w:lang w:val="nl-BE"/>
        </w:rPr>
      </w:pPr>
      <w:r w:rsidRPr="0069784D">
        <w:rPr>
          <w:lang w:val="nl-BE"/>
        </w:rPr>
        <w:t xml:space="preserve">In de strijd tegen een aantal vormen van grensoverschrijdend gedrag, waar de specifieke strafbaarstellingen van het seksueel strafrecht niet op van toepassing zijn, kunnen in het algemeen </w:t>
      </w:r>
      <w:r w:rsidR="005C7F41" w:rsidRPr="0069784D">
        <w:rPr>
          <w:lang w:val="nl-BE"/>
        </w:rPr>
        <w:t xml:space="preserve">dan weer </w:t>
      </w:r>
      <w:r w:rsidRPr="0069784D">
        <w:rPr>
          <w:lang w:val="nl-BE"/>
        </w:rPr>
        <w:t xml:space="preserve">de strafbaarstellingen inzake veel voorkomende misdrijven (belaging, </w:t>
      </w:r>
      <w:r w:rsidR="005C7F41" w:rsidRPr="0069784D">
        <w:rPr>
          <w:lang w:val="nl-BE"/>
        </w:rPr>
        <w:t>telefoonstalking</w:t>
      </w:r>
      <w:r w:rsidRPr="0069784D">
        <w:rPr>
          <w:lang w:val="nl-BE"/>
        </w:rPr>
        <w:t>, bedreigingen, afpersing, seksisme, enz.) worden toegepast.</w:t>
      </w:r>
    </w:p>
    <w:p w14:paraId="4AA5E0A8" w14:textId="77777777" w:rsidR="00AB735E" w:rsidRPr="0069784D" w:rsidRDefault="00AB735E" w:rsidP="009C15CF">
      <w:pPr>
        <w:jc w:val="both"/>
        <w:rPr>
          <w:lang w:val="nl-BE"/>
        </w:rPr>
      </w:pPr>
    </w:p>
    <w:p w14:paraId="4E8815CE" w14:textId="5072F4EF" w:rsidR="004D55BA" w:rsidRPr="0069784D" w:rsidRDefault="00D202D0" w:rsidP="009C15CF">
      <w:pPr>
        <w:pStyle w:val="ListParagraph"/>
        <w:numPr>
          <w:ilvl w:val="0"/>
          <w:numId w:val="22"/>
        </w:numPr>
        <w:jc w:val="both"/>
        <w:outlineLvl w:val="0"/>
        <w:rPr>
          <w:rFonts w:cstheme="minorHAnsi"/>
          <w:b/>
          <w:bCs/>
          <w:sz w:val="36"/>
          <w:szCs w:val="36"/>
          <w:lang w:val="nl-BE"/>
        </w:rPr>
      </w:pPr>
      <w:bookmarkStart w:id="53" w:name="_Toc104134074"/>
      <w:r w:rsidRPr="0069784D">
        <w:rPr>
          <w:b/>
          <w:sz w:val="36"/>
          <w:szCs w:val="36"/>
          <w:lang w:val="nl-BE"/>
        </w:rPr>
        <w:t>Wijziging van de wet van 29 juni</w:t>
      </w:r>
      <w:r w:rsidR="00355BF0" w:rsidRPr="0069784D">
        <w:rPr>
          <w:b/>
          <w:sz w:val="36"/>
          <w:szCs w:val="36"/>
          <w:lang w:val="nl-BE"/>
        </w:rPr>
        <w:t xml:space="preserve"> 1964 </w:t>
      </w:r>
      <w:bookmarkEnd w:id="53"/>
      <w:r w:rsidR="00C90741" w:rsidRPr="0069784D">
        <w:rPr>
          <w:rFonts w:cstheme="minorHAnsi"/>
          <w:b/>
          <w:bCs/>
          <w:color w:val="000000"/>
          <w:sz w:val="36"/>
          <w:szCs w:val="36"/>
          <w:lang w:val="nl-BE"/>
        </w:rPr>
        <w:t>betreffende de opschorting, het uitstel en de probatie</w:t>
      </w:r>
    </w:p>
    <w:p w14:paraId="15972D72" w14:textId="77777777" w:rsidR="00D703D6" w:rsidRDefault="00D703D6" w:rsidP="009C15CF">
      <w:pPr>
        <w:jc w:val="both"/>
        <w:rPr>
          <w:rFonts w:cstheme="minorHAnsi"/>
          <w:color w:val="000000"/>
          <w:lang w:val="nl-BE"/>
        </w:rPr>
      </w:pPr>
    </w:p>
    <w:p w14:paraId="55B9625E" w14:textId="2EECA3B3" w:rsidR="00355BF0" w:rsidRPr="0069784D" w:rsidRDefault="00C90741" w:rsidP="009C15CF">
      <w:pPr>
        <w:jc w:val="both"/>
        <w:rPr>
          <w:lang w:val="nl-BE"/>
        </w:rPr>
      </w:pPr>
      <w:r w:rsidRPr="0069784D">
        <w:rPr>
          <w:rFonts w:cstheme="minorHAnsi"/>
          <w:color w:val="000000"/>
          <w:lang w:val="nl-BE"/>
        </w:rPr>
        <w:t>Opgelet</w:t>
      </w:r>
      <w:r w:rsidR="00355BF0" w:rsidRPr="0069784D">
        <w:rPr>
          <w:rFonts w:cstheme="minorHAnsi"/>
          <w:color w:val="000000"/>
          <w:lang w:val="nl-BE"/>
        </w:rPr>
        <w:t>:</w:t>
      </w:r>
      <w:r w:rsidRPr="0069784D">
        <w:rPr>
          <w:rFonts w:cstheme="minorHAnsi"/>
          <w:color w:val="000000"/>
          <w:lang w:val="nl-BE"/>
        </w:rPr>
        <w:t xml:space="preserve"> deze door artikel 114 van de wet van 21 maart 2022 ingevoerde wijziging zou o</w:t>
      </w:r>
      <w:r w:rsidR="00F04974">
        <w:rPr>
          <w:rFonts w:cstheme="minorHAnsi"/>
          <w:color w:val="000000"/>
          <w:lang w:val="nl-BE"/>
        </w:rPr>
        <w:t>nopgemerkt kunnen voorbijgaan</w:t>
      </w:r>
      <w:r w:rsidR="005A66C7">
        <w:rPr>
          <w:rFonts w:cstheme="minorHAnsi"/>
          <w:color w:val="000000"/>
          <w:lang w:val="nl-BE"/>
        </w:rPr>
        <w:t>,</w:t>
      </w:r>
      <w:r w:rsidR="00F04974">
        <w:rPr>
          <w:rFonts w:cstheme="minorHAnsi"/>
          <w:color w:val="000000"/>
          <w:lang w:val="nl-BE"/>
        </w:rPr>
        <w:t xml:space="preserve"> maar ze</w:t>
      </w:r>
      <w:r w:rsidRPr="0069784D">
        <w:rPr>
          <w:rFonts w:cstheme="minorHAnsi"/>
          <w:color w:val="000000"/>
          <w:lang w:val="nl-BE"/>
        </w:rPr>
        <w:t xml:space="preserve"> heeft een algemene draagwijdte. </w:t>
      </w:r>
      <w:r w:rsidR="00355BF0" w:rsidRPr="0069784D">
        <w:rPr>
          <w:rFonts w:cstheme="minorHAnsi"/>
          <w:color w:val="000000"/>
          <w:lang w:val="nl-BE"/>
        </w:rPr>
        <w:t xml:space="preserve"> </w:t>
      </w:r>
    </w:p>
    <w:p w14:paraId="43FF8485" w14:textId="6C1E7F80" w:rsidR="00E77D6E" w:rsidRPr="0069784D" w:rsidRDefault="00C90741" w:rsidP="009C15CF">
      <w:pPr>
        <w:spacing w:before="100" w:beforeAutospacing="1" w:after="100" w:afterAutospacing="1"/>
        <w:jc w:val="both"/>
        <w:rPr>
          <w:rFonts w:cstheme="minorHAnsi"/>
          <w:lang w:val="nl-BE"/>
        </w:rPr>
      </w:pPr>
      <w:r w:rsidRPr="0069784D">
        <w:rPr>
          <w:rFonts w:cstheme="minorHAnsi"/>
          <w:color w:val="000000"/>
          <w:lang w:val="nl-BE"/>
        </w:rPr>
        <w:t>Met ingang van 1 juni 2022 dient deze nieuwe versie van artikel</w:t>
      </w:r>
      <w:r w:rsidR="00E77D6E" w:rsidRPr="0069784D">
        <w:rPr>
          <w:rFonts w:cstheme="minorHAnsi"/>
          <w:color w:val="000000"/>
          <w:lang w:val="nl-BE"/>
        </w:rPr>
        <w:t xml:space="preserve"> 8, §1, </w:t>
      </w:r>
      <w:r w:rsidRPr="0069784D">
        <w:rPr>
          <w:rFonts w:cstheme="minorHAnsi"/>
          <w:color w:val="000000"/>
          <w:lang w:val="nl-BE"/>
        </w:rPr>
        <w:t xml:space="preserve">lid 1 van de wet van 29 juni 1964 betreffende de opschorting, het uitstel en de probatie </w:t>
      </w:r>
      <w:r w:rsidRPr="0069784D">
        <w:rPr>
          <w:rFonts w:cstheme="minorHAnsi"/>
          <w:b/>
          <w:bCs/>
          <w:color w:val="000000"/>
          <w:lang w:val="nl-BE"/>
        </w:rPr>
        <w:t>voor alle materies</w:t>
      </w:r>
      <w:r w:rsidRPr="0069784D">
        <w:rPr>
          <w:rFonts w:cstheme="minorHAnsi"/>
          <w:color w:val="000000"/>
          <w:lang w:val="nl-BE"/>
        </w:rPr>
        <w:t xml:space="preserve"> toegepast te worden:</w:t>
      </w:r>
      <w:r w:rsidR="00E77D6E" w:rsidRPr="0069784D">
        <w:rPr>
          <w:rFonts w:cstheme="minorHAnsi"/>
          <w:color w:val="000000"/>
          <w:lang w:val="nl-BE"/>
        </w:rPr>
        <w:t xml:space="preserve"> </w:t>
      </w:r>
    </w:p>
    <w:p w14:paraId="1B7BFC4A" w14:textId="1A5D297A" w:rsidR="00F26555" w:rsidRPr="00F04974" w:rsidRDefault="00416908" w:rsidP="009C15CF">
      <w:pPr>
        <w:spacing w:before="100" w:beforeAutospacing="1" w:after="100" w:afterAutospacing="1"/>
        <w:jc w:val="both"/>
        <w:rPr>
          <w:rFonts w:cstheme="minorHAnsi"/>
          <w:i/>
          <w:color w:val="000000"/>
          <w:lang w:val="nl-BE"/>
        </w:rPr>
      </w:pPr>
      <w:r>
        <w:rPr>
          <w:color w:val="000000"/>
          <w:lang w:val="nl-BE"/>
        </w:rPr>
        <w:t>“§ 1</w:t>
      </w:r>
      <w:r>
        <w:rPr>
          <w:b/>
          <w:bCs/>
          <w:color w:val="000000"/>
          <w:sz w:val="27"/>
          <w:szCs w:val="27"/>
          <w:lang w:val="nl-BE"/>
        </w:rPr>
        <w:t xml:space="preserve"> </w:t>
      </w:r>
      <w:r>
        <w:rPr>
          <w:strike/>
          <w:color w:val="000000"/>
          <w:lang w:val="nl-BE"/>
        </w:rPr>
        <w:t>[</w:t>
      </w:r>
      <w:hyperlink r:id="rId20" w:anchor="t" w:tooltip="&lt;W 2016-02-05/11, art. 37, 022; Inwerkingtreding : 29-02-2016&gt;" w:history="1">
        <w:r>
          <w:rPr>
            <w:rStyle w:val="Hyperlink"/>
            <w:strike/>
            <w:color w:val="FF0000"/>
            <w:vertAlign w:val="superscript"/>
            <w:lang w:val="nl-BE"/>
          </w:rPr>
          <w:t>4</w:t>
        </w:r>
      </w:hyperlink>
      <w:r>
        <w:rPr>
          <w:strike/>
          <w:color w:val="000000"/>
          <w:lang w:val="nl-BE"/>
        </w:rPr>
        <w:t> Indien de veroordeelde nog niet veroordeeld is geweest tot een criminele straf of tot een hoofdgevangenisstraf van meer dan drie jaar of tot een gelijkwaardige straf die in aanmerking genomen wordt overeenkomstig artikel 99bis van het Strafwetboek, kunnen</w:t>
      </w:r>
      <w:r>
        <w:rPr>
          <w:color w:val="000000"/>
          <w:lang w:val="nl-BE"/>
        </w:rPr>
        <w:t xml:space="preserve"> </w:t>
      </w:r>
      <w:r w:rsidR="00C90741" w:rsidRPr="00F04974">
        <w:rPr>
          <w:rFonts w:cstheme="minorHAnsi"/>
          <w:i/>
          <w:color w:val="000000"/>
          <w:lang w:val="nl-BE"/>
        </w:rPr>
        <w:t>de vonnisgerechten</w:t>
      </w:r>
      <w:r w:rsidR="00F26555" w:rsidRPr="00F04974">
        <w:rPr>
          <w:rFonts w:cstheme="minorHAnsi"/>
          <w:i/>
          <w:color w:val="000000"/>
          <w:lang w:val="nl-BE"/>
        </w:rPr>
        <w:t xml:space="preserve"> [kunnen]</w:t>
      </w:r>
      <w:r w:rsidR="00C90741" w:rsidRPr="00F04974">
        <w:rPr>
          <w:rFonts w:cstheme="minorHAnsi"/>
          <w:i/>
          <w:color w:val="000000"/>
          <w:lang w:val="nl-BE"/>
        </w:rPr>
        <w:t>, wanneer zij niet tot één of meer hoofdvrijheidsstraffen van meer dan vijf jaar gevangenis veroordelen, gelasten dat de tenuitvoerlegging van de hoofd- en bijkomende straffen dan wel van een gedeelte ervan, wordt uitgesteld.</w:t>
      </w:r>
    </w:p>
    <w:p w14:paraId="1D84490F" w14:textId="3732F987" w:rsidR="00F26555" w:rsidRPr="00F04974" w:rsidRDefault="00C90741" w:rsidP="009C15CF">
      <w:pPr>
        <w:spacing w:before="100" w:beforeAutospacing="1" w:after="100" w:afterAutospacing="1"/>
        <w:jc w:val="both"/>
        <w:rPr>
          <w:rFonts w:cstheme="minorHAnsi"/>
          <w:i/>
          <w:color w:val="000000"/>
          <w:lang w:val="nl-BE"/>
        </w:rPr>
      </w:pPr>
      <w:r w:rsidRPr="00F04974">
        <w:rPr>
          <w:rFonts w:cstheme="minorHAnsi"/>
          <w:i/>
          <w:color w:val="000000"/>
          <w:lang w:val="nl-BE"/>
        </w:rPr>
        <w:lastRenderedPageBreak/>
        <w:t>Een gewoon uitstel kan echter niet worden gelast indien de veroordeelde veroordeeld is geweest tot een hoofdgevangenisstraf van meer dan twaalf maanden of tot een gelijkwaardige straf die in aanmerking genomen wordt overeenkomstig artikel 99bis van het Strafwetboek.</w:t>
      </w:r>
      <w:r w:rsidR="00F26555" w:rsidRPr="00F04974">
        <w:rPr>
          <w:rFonts w:cstheme="minorHAnsi"/>
          <w:i/>
          <w:color w:val="000000"/>
          <w:lang w:val="nl-BE"/>
        </w:rPr>
        <w:t>”</w:t>
      </w:r>
      <w:r w:rsidRPr="00F04974">
        <w:rPr>
          <w:rFonts w:cstheme="minorHAnsi"/>
          <w:i/>
          <w:color w:val="000000"/>
          <w:lang w:val="nl-BE"/>
        </w:rPr>
        <w:t xml:space="preserve"> </w:t>
      </w:r>
    </w:p>
    <w:p w14:paraId="55067B80" w14:textId="00B1FD7B" w:rsidR="00F2403F" w:rsidRPr="0069784D" w:rsidRDefault="00F26555" w:rsidP="009C15CF">
      <w:pPr>
        <w:spacing w:before="100" w:beforeAutospacing="1" w:after="100" w:afterAutospacing="1"/>
        <w:jc w:val="both"/>
        <w:rPr>
          <w:rFonts w:cstheme="minorHAnsi"/>
          <w:color w:val="000000"/>
          <w:lang w:val="nl-BE"/>
        </w:rPr>
      </w:pPr>
      <w:r w:rsidRPr="0069784D">
        <w:rPr>
          <w:rFonts w:cstheme="minorHAnsi"/>
          <w:color w:val="000000"/>
          <w:lang w:val="nl-BE"/>
        </w:rPr>
        <w:t xml:space="preserve">Dit betekent dus dat het obstakel van een vroegere veroordeling </w:t>
      </w:r>
      <w:r w:rsidR="007573B5" w:rsidRPr="0069784D">
        <w:rPr>
          <w:rFonts w:cstheme="minorHAnsi"/>
          <w:color w:val="000000"/>
          <w:lang w:val="nl-BE"/>
        </w:rPr>
        <w:t>enkel nog</w:t>
      </w:r>
      <w:r w:rsidR="00C879BB" w:rsidRPr="0069784D">
        <w:rPr>
          <w:rFonts w:cstheme="minorHAnsi"/>
          <w:color w:val="000000"/>
          <w:lang w:val="nl-BE"/>
        </w:rPr>
        <w:t xml:space="preserve"> </w:t>
      </w:r>
      <w:r w:rsidRPr="0069784D">
        <w:rPr>
          <w:rFonts w:cstheme="minorHAnsi"/>
          <w:color w:val="000000"/>
          <w:lang w:val="nl-BE"/>
        </w:rPr>
        <w:t>geldt voor een gewoon uitstel. De achterliggende id</w:t>
      </w:r>
      <w:r w:rsidR="00C879BB" w:rsidRPr="0069784D">
        <w:rPr>
          <w:rFonts w:cstheme="minorHAnsi"/>
          <w:color w:val="000000"/>
          <w:lang w:val="nl-BE"/>
        </w:rPr>
        <w:t>e</w:t>
      </w:r>
      <w:r w:rsidRPr="0069784D">
        <w:rPr>
          <w:rFonts w:cstheme="minorHAnsi"/>
          <w:color w:val="000000"/>
          <w:lang w:val="nl-BE"/>
        </w:rPr>
        <w:t xml:space="preserve">e hiervan bestaat erin de rechter in de mogelijkheid te stellen een probatie-uitstel op te leggen in alle gevallen waarin hij niet veroordeelt tot een gevangenisstraf hoger dan vijf jaar en waarin het volgen van een vorm van behandeling nuttig kan zijn, en dit dus ongeacht alle gerechtelijke voorgaanden.  </w:t>
      </w:r>
    </w:p>
    <w:p w14:paraId="74BCB6BD" w14:textId="77777777" w:rsidR="0034327B" w:rsidRPr="0069784D" w:rsidRDefault="0034327B" w:rsidP="009C15CF">
      <w:pPr>
        <w:spacing w:before="100" w:beforeAutospacing="1" w:after="100" w:afterAutospacing="1"/>
        <w:jc w:val="both"/>
        <w:rPr>
          <w:rFonts w:cstheme="minorHAnsi"/>
          <w:color w:val="000000"/>
          <w:lang w:val="nl-BE"/>
        </w:rPr>
      </w:pPr>
    </w:p>
    <w:p w14:paraId="06BB5751" w14:textId="44671995" w:rsidR="004D55BA" w:rsidRPr="003F073C" w:rsidRDefault="005642ED" w:rsidP="009C15CF">
      <w:pPr>
        <w:pStyle w:val="Heading3"/>
        <w:jc w:val="both"/>
        <w:rPr>
          <w:rFonts w:asciiTheme="minorHAnsi" w:hAnsiTheme="minorHAnsi"/>
          <w:color w:val="auto"/>
          <w:sz w:val="28"/>
          <w:u w:val="single"/>
          <w:lang w:val="nl-BE"/>
        </w:rPr>
      </w:pPr>
      <w:r w:rsidRPr="003F073C">
        <w:rPr>
          <w:rFonts w:asciiTheme="minorHAnsi" w:hAnsiTheme="minorHAnsi"/>
          <w:color w:val="auto"/>
          <w:sz w:val="28"/>
          <w:u w:val="single"/>
          <w:lang w:val="nl-BE"/>
        </w:rPr>
        <w:t>Inwerkingtreding</w:t>
      </w:r>
      <w:r w:rsidR="003F073C" w:rsidRPr="003F073C">
        <w:rPr>
          <w:rFonts w:asciiTheme="minorHAnsi" w:hAnsiTheme="minorHAnsi"/>
          <w:color w:val="auto"/>
          <w:sz w:val="28"/>
          <w:u w:val="single"/>
          <w:lang w:val="nl-BE"/>
        </w:rPr>
        <w:t>:</w:t>
      </w:r>
    </w:p>
    <w:p w14:paraId="03C9F76F" w14:textId="77777777" w:rsidR="00D703D6" w:rsidRDefault="00D703D6" w:rsidP="009C15CF">
      <w:pPr>
        <w:jc w:val="both"/>
        <w:rPr>
          <w:rFonts w:cstheme="minorHAnsi"/>
          <w:color w:val="000000"/>
          <w:lang w:val="nl-BE"/>
        </w:rPr>
      </w:pPr>
    </w:p>
    <w:p w14:paraId="5C116C35" w14:textId="63B72316" w:rsidR="00F26FB5" w:rsidRPr="0069784D" w:rsidRDefault="00F26555" w:rsidP="009C15CF">
      <w:pPr>
        <w:jc w:val="both"/>
        <w:rPr>
          <w:b/>
          <w:lang w:val="nl-BE"/>
        </w:rPr>
      </w:pPr>
      <w:r w:rsidRPr="0069784D">
        <w:rPr>
          <w:rFonts w:cstheme="minorHAnsi"/>
          <w:color w:val="000000"/>
          <w:lang w:val="nl-BE"/>
        </w:rPr>
        <w:t xml:space="preserve">De wet van 21 maart 2022, </w:t>
      </w:r>
      <w:r w:rsidR="00AA3DBA" w:rsidRPr="0069784D">
        <w:rPr>
          <w:rFonts w:cstheme="minorHAnsi"/>
          <w:color w:val="000000"/>
          <w:lang w:val="nl-BE"/>
        </w:rPr>
        <w:t xml:space="preserve">die </w:t>
      </w:r>
      <w:r w:rsidRPr="0069784D">
        <w:rPr>
          <w:rFonts w:cstheme="minorHAnsi"/>
          <w:color w:val="000000"/>
          <w:lang w:val="nl-BE"/>
        </w:rPr>
        <w:t>gepubliceerd</w:t>
      </w:r>
      <w:r w:rsidR="00AA3DBA" w:rsidRPr="0069784D">
        <w:rPr>
          <w:rFonts w:cstheme="minorHAnsi"/>
          <w:color w:val="000000"/>
          <w:lang w:val="nl-BE"/>
        </w:rPr>
        <w:t xml:space="preserve"> werd</w:t>
      </w:r>
      <w:r w:rsidRPr="0069784D">
        <w:rPr>
          <w:rFonts w:cstheme="minorHAnsi"/>
          <w:color w:val="000000"/>
          <w:lang w:val="nl-BE"/>
        </w:rPr>
        <w:t xml:space="preserve"> in het Belgisch Staatsblad van 30 maart 2022, treedt in werking op de eerste dag van de derde maand na die waarin ze is bekendgemaakt in het Belgisch Staatsblad</w:t>
      </w:r>
      <w:r w:rsidR="00A66F53" w:rsidRPr="0069784D">
        <w:rPr>
          <w:lang w:val="nl-BE"/>
        </w:rPr>
        <w:t xml:space="preserve"> (</w:t>
      </w:r>
      <w:r w:rsidR="00F26FB5" w:rsidRPr="0069784D">
        <w:rPr>
          <w:lang w:val="nl-BE"/>
        </w:rPr>
        <w:t>art</w:t>
      </w:r>
      <w:r w:rsidRPr="0069784D">
        <w:rPr>
          <w:lang w:val="nl-BE"/>
        </w:rPr>
        <w:t>ikel</w:t>
      </w:r>
      <w:r w:rsidR="00F26FB5" w:rsidRPr="0069784D">
        <w:rPr>
          <w:lang w:val="nl-BE"/>
        </w:rPr>
        <w:t xml:space="preserve"> 118), </w:t>
      </w:r>
      <w:r w:rsidR="005642ED" w:rsidRPr="0069784D">
        <w:rPr>
          <w:b/>
          <w:lang w:val="nl-BE"/>
        </w:rPr>
        <w:t>zijnde op 1 juni</w:t>
      </w:r>
      <w:r w:rsidR="00F26FB5" w:rsidRPr="0069784D">
        <w:rPr>
          <w:b/>
          <w:lang w:val="nl-BE"/>
        </w:rPr>
        <w:t xml:space="preserve"> 2022</w:t>
      </w:r>
      <w:r w:rsidR="0034327B" w:rsidRPr="0069784D">
        <w:rPr>
          <w:b/>
          <w:lang w:val="nl-BE"/>
        </w:rPr>
        <w:t>.</w:t>
      </w:r>
    </w:p>
    <w:p w14:paraId="2371066C" w14:textId="77777777" w:rsidR="0034327B" w:rsidRPr="0069784D" w:rsidRDefault="0034327B" w:rsidP="009C15CF">
      <w:pPr>
        <w:jc w:val="both"/>
        <w:rPr>
          <w:b/>
          <w:lang w:val="nl-BE"/>
        </w:rPr>
      </w:pPr>
    </w:p>
    <w:p w14:paraId="7E3E1DB3" w14:textId="49C86B47" w:rsidR="00160111" w:rsidRPr="0069784D" w:rsidRDefault="005642ED" w:rsidP="009C15CF">
      <w:pPr>
        <w:pStyle w:val="ListParagraph"/>
        <w:numPr>
          <w:ilvl w:val="0"/>
          <w:numId w:val="22"/>
        </w:numPr>
        <w:jc w:val="both"/>
        <w:outlineLvl w:val="0"/>
        <w:rPr>
          <w:b/>
          <w:sz w:val="36"/>
          <w:szCs w:val="36"/>
          <w:lang w:val="nl-BE"/>
        </w:rPr>
      </w:pPr>
      <w:bookmarkStart w:id="54" w:name="_Toc104134075"/>
      <w:r w:rsidRPr="0069784D">
        <w:rPr>
          <w:b/>
          <w:sz w:val="36"/>
          <w:szCs w:val="36"/>
          <w:lang w:val="nl-BE"/>
        </w:rPr>
        <w:t>Toepassing van de wet in de tijd</w:t>
      </w:r>
      <w:bookmarkEnd w:id="54"/>
      <w:r w:rsidR="00C90741" w:rsidRPr="0069784D">
        <w:rPr>
          <w:rStyle w:val="FootnoteReference"/>
          <w:b/>
          <w:lang w:val="nl-BE"/>
        </w:rPr>
        <w:footnoteReference w:customMarkFollows="1" w:id="87"/>
        <w:t>87</w:t>
      </w:r>
    </w:p>
    <w:p w14:paraId="30064D3F" w14:textId="77777777" w:rsidR="007735B9" w:rsidRPr="0069784D" w:rsidRDefault="007735B9" w:rsidP="009C15CF">
      <w:pPr>
        <w:jc w:val="both"/>
        <w:rPr>
          <w:lang w:val="nl-BE"/>
        </w:rPr>
      </w:pPr>
    </w:p>
    <w:p w14:paraId="7CCE2F0B" w14:textId="3FDA497E" w:rsidR="007735B9" w:rsidRPr="0069784D" w:rsidRDefault="0034327B" w:rsidP="009C15CF">
      <w:pPr>
        <w:pStyle w:val="Heading2"/>
        <w:jc w:val="both"/>
        <w:rPr>
          <w:b/>
          <w:color w:val="auto"/>
          <w:sz w:val="36"/>
          <w:szCs w:val="36"/>
          <w:lang w:val="nl-BE"/>
        </w:rPr>
      </w:pPr>
      <w:bookmarkStart w:id="55" w:name="_Toc104134076"/>
      <w:r w:rsidRPr="0069784D">
        <w:rPr>
          <w:b/>
          <w:color w:val="auto"/>
          <w:sz w:val="36"/>
          <w:szCs w:val="36"/>
          <w:lang w:val="nl-BE"/>
        </w:rPr>
        <w:t>In</w:t>
      </w:r>
      <w:r w:rsidR="005642ED" w:rsidRPr="0069784D">
        <w:rPr>
          <w:b/>
          <w:color w:val="auto"/>
          <w:sz w:val="36"/>
          <w:szCs w:val="36"/>
          <w:lang w:val="nl-BE"/>
        </w:rPr>
        <w:t>leiding</w:t>
      </w:r>
      <w:bookmarkEnd w:id="55"/>
    </w:p>
    <w:p w14:paraId="2F84E76F" w14:textId="77777777" w:rsidR="005642ED" w:rsidRPr="0069784D" w:rsidRDefault="005642ED" w:rsidP="009C15CF">
      <w:pPr>
        <w:jc w:val="both"/>
        <w:rPr>
          <w:lang w:val="nl-BE"/>
        </w:rPr>
      </w:pPr>
    </w:p>
    <w:p w14:paraId="0CEFABF1" w14:textId="69410A65" w:rsidR="007735B9" w:rsidRPr="0069784D" w:rsidRDefault="005642ED" w:rsidP="009C15CF">
      <w:pPr>
        <w:jc w:val="both"/>
        <w:rPr>
          <w:lang w:val="nl-BE"/>
        </w:rPr>
      </w:pPr>
      <w:r w:rsidRPr="0069784D">
        <w:rPr>
          <w:lang w:val="nl-BE"/>
        </w:rPr>
        <w:t>Feiten waarvoor een definitieve rechterlijke uitspraak bestaat die van v</w:t>
      </w:r>
      <w:r w:rsidRPr="0069784D">
        <w:rPr>
          <w:rFonts w:cstheme="minorHAnsi"/>
          <w:lang w:val="nl-BE"/>
        </w:rPr>
        <w:t>óó</w:t>
      </w:r>
      <w:r w:rsidRPr="0069784D">
        <w:rPr>
          <w:lang w:val="nl-BE"/>
        </w:rPr>
        <w:t>r 1 juni 2022 dateert, of die integraal na deze datum gepleegd werden, zullen in principe geen problemen stellen. Niettemin zal</w:t>
      </w:r>
      <w:r w:rsidR="00D202D0" w:rsidRPr="0069784D">
        <w:rPr>
          <w:lang w:val="nl-BE"/>
        </w:rPr>
        <w:t xml:space="preserve"> </w:t>
      </w:r>
      <w:r w:rsidRPr="0069784D">
        <w:rPr>
          <w:lang w:val="nl-BE"/>
        </w:rPr>
        <w:t xml:space="preserve">de toepassing van de strafwetten in de tijd moeilijkheden opleveren wanneer vanaf 1 juni 2022 feiten beoordeeld moeten worden die onder het toepassingsgebied van de vroegere wet vallen of wanneer een misdrijf onder </w:t>
      </w:r>
      <w:r w:rsidR="007573B5" w:rsidRPr="0069784D">
        <w:rPr>
          <w:lang w:val="nl-BE"/>
        </w:rPr>
        <w:t>het toepassingsgebied van</w:t>
      </w:r>
      <w:r w:rsidRPr="0069784D">
        <w:rPr>
          <w:lang w:val="nl-BE"/>
        </w:rPr>
        <w:t xml:space="preserve"> meerdere opeenvolgende strafwetten </w:t>
      </w:r>
      <w:r w:rsidR="007573B5" w:rsidRPr="0069784D">
        <w:rPr>
          <w:lang w:val="nl-BE"/>
        </w:rPr>
        <w:t>valt</w:t>
      </w:r>
      <w:r w:rsidRPr="0069784D">
        <w:rPr>
          <w:lang w:val="nl-BE"/>
        </w:rPr>
        <w:t xml:space="preserve">. </w:t>
      </w:r>
    </w:p>
    <w:p w14:paraId="61A3E23D" w14:textId="1458CBDD" w:rsidR="00884565" w:rsidRPr="0069784D" w:rsidRDefault="005642ED" w:rsidP="009C15CF">
      <w:pPr>
        <w:jc w:val="both"/>
        <w:rPr>
          <w:lang w:val="nl-BE"/>
        </w:rPr>
      </w:pPr>
      <w:r w:rsidRPr="0069784D">
        <w:rPr>
          <w:lang w:val="nl-BE"/>
        </w:rPr>
        <w:t xml:space="preserve">Omwille van de verjaringstermijnen, die uitermate lang </w:t>
      </w:r>
      <w:r w:rsidR="00941890" w:rsidRPr="0069784D">
        <w:rPr>
          <w:lang w:val="nl-BE"/>
        </w:rPr>
        <w:t>zijn</w:t>
      </w:r>
      <w:r w:rsidRPr="0069784D">
        <w:rPr>
          <w:lang w:val="nl-BE"/>
        </w:rPr>
        <w:t xml:space="preserve"> voor seksuele misdrijven, de complexe aard en de duur van de onderzoeken zal het Openbaar Ministerie zich met ingang van 1 juni 2022 </w:t>
      </w:r>
      <w:r w:rsidR="00941890" w:rsidRPr="0069784D">
        <w:rPr>
          <w:lang w:val="nl-BE"/>
        </w:rPr>
        <w:t xml:space="preserve">bij de oriëntering van het dossier, de opmaak van de vordering met het oog op de regeling van de rechtspleging, de opmaak van de dagvaarding, de vorderingen ter terechtzitting ten gronde en de </w:t>
      </w:r>
      <w:r w:rsidR="00941890" w:rsidRPr="0069784D">
        <w:rPr>
          <w:lang w:val="nl-BE"/>
        </w:rPr>
        <w:lastRenderedPageBreak/>
        <w:t xml:space="preserve">beslissing om al dan niet </w:t>
      </w:r>
      <w:r w:rsidR="00AA3DBA" w:rsidRPr="0069784D">
        <w:rPr>
          <w:lang w:val="nl-BE"/>
        </w:rPr>
        <w:t xml:space="preserve">hoger </w:t>
      </w:r>
      <w:r w:rsidR="00941890" w:rsidRPr="0069784D">
        <w:rPr>
          <w:lang w:val="nl-BE"/>
        </w:rPr>
        <w:t xml:space="preserve">beroep een vonnis </w:t>
      </w:r>
      <w:r w:rsidR="00AA3DBA" w:rsidRPr="0069784D">
        <w:rPr>
          <w:i/>
          <w:iCs/>
          <w:lang w:val="nl-BE"/>
        </w:rPr>
        <w:t>c.q.</w:t>
      </w:r>
      <w:r w:rsidR="00AA3DBA" w:rsidRPr="0069784D">
        <w:rPr>
          <w:lang w:val="nl-BE"/>
        </w:rPr>
        <w:t xml:space="preserve"> </w:t>
      </w:r>
      <w:r w:rsidR="00941890" w:rsidRPr="0069784D">
        <w:rPr>
          <w:lang w:val="nl-BE"/>
        </w:rPr>
        <w:t xml:space="preserve">cassatieberoep in te stellen, </w:t>
      </w:r>
      <w:r w:rsidRPr="0069784D">
        <w:rPr>
          <w:lang w:val="nl-BE"/>
        </w:rPr>
        <w:t>steeds de vraag moeten stellen</w:t>
      </w:r>
      <w:r w:rsidR="00941890" w:rsidRPr="0069784D">
        <w:rPr>
          <w:lang w:val="nl-BE"/>
        </w:rPr>
        <w:t xml:space="preserve"> welke strafwet nu precies van toepassing is.</w:t>
      </w:r>
    </w:p>
    <w:p w14:paraId="672B2602" w14:textId="77777777" w:rsidR="007735B9" w:rsidRPr="0069784D" w:rsidRDefault="007735B9" w:rsidP="009C15CF">
      <w:pPr>
        <w:jc w:val="both"/>
        <w:rPr>
          <w:lang w:val="nl-BE"/>
        </w:rPr>
      </w:pPr>
    </w:p>
    <w:p w14:paraId="1CD1BE6E" w14:textId="46EC9294" w:rsidR="00AC0C8C" w:rsidRPr="0069784D" w:rsidRDefault="00941890" w:rsidP="009C15CF">
      <w:pPr>
        <w:pStyle w:val="Heading2"/>
        <w:jc w:val="both"/>
        <w:rPr>
          <w:b/>
          <w:color w:val="auto"/>
          <w:sz w:val="36"/>
          <w:szCs w:val="36"/>
          <w:lang w:val="nl-BE"/>
        </w:rPr>
      </w:pPr>
      <w:bookmarkStart w:id="56" w:name="_Toc104134077"/>
      <w:r w:rsidRPr="0069784D">
        <w:rPr>
          <w:b/>
          <w:color w:val="auto"/>
          <w:sz w:val="36"/>
          <w:szCs w:val="36"/>
          <w:lang w:val="nl-BE"/>
        </w:rPr>
        <w:t>Herinnering aan de toepasselijke principes en de uitzondering in strafzaken</w:t>
      </w:r>
      <w:bookmarkEnd w:id="56"/>
    </w:p>
    <w:p w14:paraId="59A595AB" w14:textId="77777777" w:rsidR="00941890" w:rsidRPr="0069784D" w:rsidRDefault="00941890" w:rsidP="009C15CF">
      <w:pPr>
        <w:rPr>
          <w:lang w:val="nl-BE"/>
        </w:rPr>
      </w:pPr>
    </w:p>
    <w:p w14:paraId="35834985" w14:textId="1A31A08D" w:rsidR="007735B9" w:rsidRPr="0069784D" w:rsidRDefault="00941890" w:rsidP="009C15CF">
      <w:pPr>
        <w:pStyle w:val="Heading3"/>
        <w:jc w:val="both"/>
        <w:rPr>
          <w:rFonts w:asciiTheme="minorHAnsi" w:hAnsiTheme="minorHAnsi" w:cstheme="minorHAnsi"/>
          <w:color w:val="auto"/>
          <w:sz w:val="28"/>
          <w:szCs w:val="28"/>
          <w:lang w:val="nl-BE"/>
        </w:rPr>
      </w:pPr>
      <w:bookmarkStart w:id="57" w:name="_Toc104134078"/>
      <w:r w:rsidRPr="0069784D">
        <w:rPr>
          <w:rFonts w:asciiTheme="minorHAnsi" w:hAnsiTheme="minorHAnsi" w:cstheme="minorHAnsi"/>
          <w:color w:val="auto"/>
          <w:sz w:val="28"/>
          <w:szCs w:val="28"/>
          <w:lang w:val="nl-BE"/>
        </w:rPr>
        <w:t>Toepasselijke principes</w:t>
      </w:r>
      <w:bookmarkEnd w:id="57"/>
      <w:r w:rsidR="0034327B" w:rsidRPr="0069784D">
        <w:rPr>
          <w:rFonts w:asciiTheme="minorHAnsi" w:hAnsiTheme="minorHAnsi" w:cstheme="minorHAnsi"/>
          <w:color w:val="auto"/>
          <w:sz w:val="28"/>
          <w:szCs w:val="28"/>
          <w:lang w:val="nl-BE"/>
        </w:rPr>
        <w:t> </w:t>
      </w:r>
    </w:p>
    <w:p w14:paraId="05D08C84" w14:textId="77777777" w:rsidR="00941890" w:rsidRPr="0069784D" w:rsidRDefault="00941890" w:rsidP="009C15CF">
      <w:pPr>
        <w:jc w:val="both"/>
        <w:rPr>
          <w:lang w:val="nl-BE"/>
        </w:rPr>
      </w:pPr>
    </w:p>
    <w:p w14:paraId="08A838B4" w14:textId="417632C5" w:rsidR="007735B9" w:rsidRPr="0069784D" w:rsidRDefault="00DB4C7B" w:rsidP="009C15CF">
      <w:pPr>
        <w:jc w:val="both"/>
        <w:rPr>
          <w:lang w:val="nl-BE"/>
        </w:rPr>
      </w:pPr>
      <w:r w:rsidRPr="0069784D">
        <w:rPr>
          <w:lang w:val="nl-BE"/>
        </w:rPr>
        <w:t>Krachtens het principe van de onmiddellijke toepassing van de nieuwe wet uit artikel 1 van het Burgerlijk Wetboek, dat onverkort van toepassing is (</w:t>
      </w:r>
      <w:r w:rsidRPr="0069784D">
        <w:rPr>
          <w:i/>
          <w:iCs/>
          <w:lang w:val="nl-BE"/>
        </w:rPr>
        <w:t>“</w:t>
      </w:r>
      <w:r w:rsidRPr="0069784D">
        <w:rPr>
          <w:rFonts w:cstheme="minorHAnsi"/>
          <w:i/>
          <w:iCs/>
          <w:lang w:val="nl-BE"/>
        </w:rPr>
        <w:t>D</w:t>
      </w:r>
      <w:r w:rsidRPr="0069784D">
        <w:rPr>
          <w:rFonts w:cstheme="minorHAnsi"/>
          <w:i/>
          <w:iCs/>
          <w:color w:val="000000"/>
          <w:lang w:val="nl-BE"/>
        </w:rPr>
        <w:t>e wet beschikt alleen voor het toekomende; zij heeft geen terugwerkende kracht.”)</w:t>
      </w:r>
      <w:r w:rsidR="007735B9" w:rsidRPr="0069784D">
        <w:rPr>
          <w:lang w:val="nl-BE"/>
        </w:rPr>
        <w:t>,</w:t>
      </w:r>
      <w:r w:rsidRPr="0069784D">
        <w:rPr>
          <w:lang w:val="nl-BE"/>
        </w:rPr>
        <w:t xml:space="preserve"> </w:t>
      </w:r>
      <w:r w:rsidRPr="0069784D">
        <w:rPr>
          <w:rFonts w:cstheme="minorHAnsi"/>
          <w:lang w:val="nl-BE"/>
        </w:rPr>
        <w:t xml:space="preserve">is de wet van 21 maart 2022 van toepassing op feiten die gepleegd worden vanaf 1 juni 2022 en </w:t>
      </w:r>
      <w:r w:rsidRPr="0069784D">
        <w:rPr>
          <w:rFonts w:cstheme="minorHAnsi"/>
          <w:color w:val="000000"/>
          <w:shd w:val="clear" w:color="auto" w:fill="FFFFFF"/>
          <w:lang w:val="nl-BE"/>
        </w:rPr>
        <w:t>ook op de toekomstige gevolgen van de onder de vroegere wet ontstane toestand die zich voordoen of die voortduren of waarvan de gevolgen voortduren onder de nieuwe wet</w:t>
      </w:r>
      <w:r w:rsidR="007735B9" w:rsidRPr="0069784D">
        <w:rPr>
          <w:lang w:val="nl-BE"/>
        </w:rPr>
        <w:t xml:space="preserve"> (Cass. 24 a</w:t>
      </w:r>
      <w:r w:rsidRPr="0069784D">
        <w:rPr>
          <w:lang w:val="nl-BE"/>
        </w:rPr>
        <w:t>p</w:t>
      </w:r>
      <w:r w:rsidR="007735B9" w:rsidRPr="0069784D">
        <w:rPr>
          <w:lang w:val="nl-BE"/>
        </w:rPr>
        <w:t>ril 2008, Pas., 2008, p. 993).</w:t>
      </w:r>
    </w:p>
    <w:p w14:paraId="38940C83" w14:textId="77777777" w:rsidR="007735B9" w:rsidRPr="0069784D" w:rsidRDefault="007735B9" w:rsidP="009C15CF">
      <w:pPr>
        <w:jc w:val="both"/>
        <w:rPr>
          <w:lang w:val="nl-BE"/>
        </w:rPr>
      </w:pPr>
    </w:p>
    <w:p w14:paraId="22B0BD22" w14:textId="6F4609F0" w:rsidR="007735B9" w:rsidRPr="0069784D" w:rsidRDefault="00941890" w:rsidP="009C15CF">
      <w:pPr>
        <w:pStyle w:val="Heading3"/>
        <w:jc w:val="both"/>
        <w:rPr>
          <w:rFonts w:asciiTheme="minorHAnsi" w:hAnsiTheme="minorHAnsi" w:cstheme="minorHAnsi"/>
          <w:color w:val="auto"/>
          <w:sz w:val="28"/>
          <w:szCs w:val="28"/>
          <w:lang w:val="nl-BE"/>
        </w:rPr>
      </w:pPr>
      <w:r w:rsidRPr="0069784D">
        <w:rPr>
          <w:rFonts w:asciiTheme="minorHAnsi" w:hAnsiTheme="minorHAnsi" w:cstheme="minorHAnsi"/>
          <w:color w:val="auto"/>
          <w:sz w:val="28"/>
          <w:szCs w:val="28"/>
          <w:lang w:val="nl-BE"/>
        </w:rPr>
        <w:t>Uitzondering in strafzaken</w:t>
      </w:r>
    </w:p>
    <w:p w14:paraId="44A7A43C" w14:textId="77777777" w:rsidR="00941890" w:rsidRPr="0069784D" w:rsidRDefault="00941890" w:rsidP="009C15CF">
      <w:pPr>
        <w:jc w:val="both"/>
        <w:rPr>
          <w:lang w:val="nl-BE"/>
        </w:rPr>
      </w:pPr>
    </w:p>
    <w:p w14:paraId="71547606" w14:textId="6468EB4B" w:rsidR="007735B9" w:rsidRPr="0069784D" w:rsidRDefault="00941890" w:rsidP="009C15CF">
      <w:pPr>
        <w:jc w:val="both"/>
        <w:rPr>
          <w:lang w:val="nl-BE"/>
        </w:rPr>
      </w:pPr>
      <w:r w:rsidRPr="0069784D">
        <w:rPr>
          <w:lang w:val="nl-BE"/>
        </w:rPr>
        <w:t xml:space="preserve">De uitzondering in strafzaken vindt haar grondslag in artikel 2 van het Strafwetboek, dat als volgt luidt: </w:t>
      </w:r>
    </w:p>
    <w:p w14:paraId="46E4D609" w14:textId="48C6136E" w:rsidR="00DB4C7B" w:rsidRPr="0069784D" w:rsidRDefault="00DB4C7B" w:rsidP="009C15CF">
      <w:pPr>
        <w:jc w:val="both"/>
        <w:rPr>
          <w:rFonts w:cstheme="minorHAnsi"/>
          <w:i/>
          <w:iCs/>
          <w:color w:val="000000"/>
          <w:lang w:val="nl-BE"/>
        </w:rPr>
      </w:pPr>
      <w:r w:rsidRPr="0069784D">
        <w:rPr>
          <w:rFonts w:cstheme="minorHAnsi"/>
          <w:i/>
          <w:iCs/>
          <w:color w:val="000000"/>
          <w:lang w:val="nl-BE"/>
        </w:rPr>
        <w:t>“Geen misdrijf kan worden gestraft met straffen die bij de wet niet waren gesteld voordat het misdrijf werd gepleegd.</w:t>
      </w:r>
    </w:p>
    <w:p w14:paraId="5DF769BA" w14:textId="4026AFAD" w:rsidR="007735B9" w:rsidRPr="0069784D" w:rsidRDefault="00DB4C7B" w:rsidP="009C15CF">
      <w:pPr>
        <w:jc w:val="both"/>
        <w:rPr>
          <w:rFonts w:cstheme="minorHAnsi"/>
          <w:i/>
          <w:iCs/>
          <w:lang w:val="nl-BE"/>
        </w:rPr>
      </w:pPr>
      <w:r w:rsidRPr="0069784D">
        <w:rPr>
          <w:rFonts w:cstheme="minorHAnsi"/>
          <w:i/>
          <w:iCs/>
          <w:color w:val="000000"/>
          <w:lang w:val="nl-BE"/>
        </w:rPr>
        <w:t>Indien de straf, ten tijde van het vonnis bepaald, verschilt van die welke ten tijde van het misdrijf was bepaald, wordt de minst zware straf toegepast.”</w:t>
      </w:r>
    </w:p>
    <w:p w14:paraId="4C634576" w14:textId="7F38C4D1" w:rsidR="007735B9" w:rsidRPr="0069784D" w:rsidRDefault="00466273" w:rsidP="009C15CF">
      <w:pPr>
        <w:jc w:val="both"/>
        <w:rPr>
          <w:lang w:val="nl-BE"/>
        </w:rPr>
      </w:pPr>
      <w:r w:rsidRPr="0069784D">
        <w:rPr>
          <w:lang w:val="nl-BE"/>
        </w:rPr>
        <w:t xml:space="preserve">Hoewel lid 1 van artikel 2 van het Strafwetboek enkel de straf en niet de strafbaarstelling vermeldt, hebben het Hof van Cassatie en het Grondwettelijk Hof de toepassing ervan uitgebreid naar de wetten die een nieuwe strafbaarstelling creëren </w:t>
      </w:r>
      <w:r w:rsidR="007735B9" w:rsidRPr="0069784D">
        <w:rPr>
          <w:lang w:val="nl-BE"/>
        </w:rPr>
        <w:t>(Cass. 22 m</w:t>
      </w:r>
      <w:r w:rsidRPr="0069784D">
        <w:rPr>
          <w:lang w:val="nl-BE"/>
        </w:rPr>
        <w:t>aart</w:t>
      </w:r>
      <w:r w:rsidR="007735B9" w:rsidRPr="0069784D">
        <w:rPr>
          <w:lang w:val="nl-BE"/>
        </w:rPr>
        <w:t xml:space="preserve"> 1994, Pas., 1994, I., p. 293 e</w:t>
      </w:r>
      <w:r w:rsidRPr="0069784D">
        <w:rPr>
          <w:lang w:val="nl-BE"/>
        </w:rPr>
        <w:t>n Gr</w:t>
      </w:r>
      <w:r w:rsidR="004D71B2" w:rsidRPr="0069784D">
        <w:rPr>
          <w:lang w:val="nl-BE"/>
        </w:rPr>
        <w:t>ondwettelijk Hof</w:t>
      </w:r>
      <w:r w:rsidR="007735B9" w:rsidRPr="0069784D">
        <w:rPr>
          <w:lang w:val="nl-BE"/>
        </w:rPr>
        <w:t>, 15 m</w:t>
      </w:r>
      <w:r w:rsidRPr="0069784D">
        <w:rPr>
          <w:lang w:val="nl-BE"/>
        </w:rPr>
        <w:t>e</w:t>
      </w:r>
      <w:r w:rsidR="007735B9" w:rsidRPr="0069784D">
        <w:rPr>
          <w:lang w:val="nl-BE"/>
        </w:rPr>
        <w:t>i 2017, n</w:t>
      </w:r>
      <w:r w:rsidRPr="0069784D">
        <w:rPr>
          <w:lang w:val="nl-BE"/>
        </w:rPr>
        <w:t xml:space="preserve">r. </w:t>
      </w:r>
      <w:r w:rsidR="007735B9" w:rsidRPr="0069784D">
        <w:rPr>
          <w:lang w:val="nl-BE"/>
        </w:rPr>
        <w:t>76/2017, B.</w:t>
      </w:r>
      <w:r w:rsidRPr="0069784D">
        <w:rPr>
          <w:lang w:val="nl-BE"/>
        </w:rPr>
        <w:t>S.</w:t>
      </w:r>
      <w:r w:rsidR="007735B9" w:rsidRPr="0069784D">
        <w:rPr>
          <w:lang w:val="nl-BE"/>
        </w:rPr>
        <w:t>, 2017, p</w:t>
      </w:r>
      <w:r w:rsidRPr="0069784D">
        <w:rPr>
          <w:lang w:val="nl-BE"/>
        </w:rPr>
        <w:t xml:space="preserve">. </w:t>
      </w:r>
      <w:r w:rsidR="007735B9" w:rsidRPr="0069784D">
        <w:rPr>
          <w:lang w:val="nl-BE"/>
        </w:rPr>
        <w:t xml:space="preserve">97225). </w:t>
      </w:r>
    </w:p>
    <w:p w14:paraId="176C9C42" w14:textId="33BA5D70" w:rsidR="007735B9" w:rsidRPr="0069784D" w:rsidRDefault="00392CE8" w:rsidP="009C15CF">
      <w:pPr>
        <w:jc w:val="both"/>
        <w:rPr>
          <w:lang w:val="nl-BE"/>
        </w:rPr>
      </w:pPr>
      <w:r w:rsidRPr="0069784D">
        <w:rPr>
          <w:lang w:val="nl-BE"/>
        </w:rPr>
        <w:t xml:space="preserve">Deze bepaling </w:t>
      </w:r>
      <w:r w:rsidR="00F91817" w:rsidRPr="0069784D">
        <w:rPr>
          <w:lang w:val="nl-BE"/>
        </w:rPr>
        <w:t>legt</w:t>
      </w:r>
      <w:r w:rsidRPr="0069784D">
        <w:rPr>
          <w:lang w:val="nl-BE"/>
        </w:rPr>
        <w:t xml:space="preserve"> dus het principe van de niet-retroactiviteit van de wet vast die een nieuwe strafbaarstelling invoert en van de wet die een strengere straf oplegt. </w:t>
      </w:r>
    </w:p>
    <w:p w14:paraId="3CB34207" w14:textId="60ED1F48" w:rsidR="007735B9" w:rsidRPr="0069784D" w:rsidRDefault="00392CE8" w:rsidP="009C15CF">
      <w:pPr>
        <w:jc w:val="both"/>
        <w:rPr>
          <w:lang w:val="nl-BE"/>
        </w:rPr>
      </w:pPr>
      <w:r w:rsidRPr="0069784D">
        <w:rPr>
          <w:lang w:val="nl-BE"/>
        </w:rPr>
        <w:t>Dit beginsel is ook wettelijk verankerd in artikel 7, 1 van het Verdrag tot Bescherming van de Rechten van de Mens en de Fundamentele Vrijheden en artikel 15, §1 van het Internationaal Verdrag inzake Burgerrechten en Politieke Rechten</w:t>
      </w:r>
      <w:r w:rsidR="007735B9" w:rsidRPr="0069784D">
        <w:rPr>
          <w:lang w:val="nl-BE"/>
        </w:rPr>
        <w:t>.</w:t>
      </w:r>
    </w:p>
    <w:p w14:paraId="43F8ED45" w14:textId="3593DAAE" w:rsidR="007735B9" w:rsidRPr="0069784D" w:rsidRDefault="00392CE8" w:rsidP="009C15CF">
      <w:pPr>
        <w:jc w:val="both"/>
        <w:rPr>
          <w:lang w:val="nl-BE"/>
        </w:rPr>
      </w:pPr>
      <w:r w:rsidRPr="0069784D">
        <w:rPr>
          <w:lang w:val="nl-BE"/>
        </w:rPr>
        <w:t xml:space="preserve">Dit principe is daarentegen niet van toepassing op wetten die geen strafbaarstelling noch straffen omvatten. Interpretatieve wetten, veiligheidsmaatregelen en de wet die de terbeschikkingstelling van de strafuitvoeringsrechtbank regelt, kunnen zo wel met terugwerkende kracht toegepast worden. </w:t>
      </w:r>
    </w:p>
    <w:p w14:paraId="5C523903" w14:textId="37838CC9" w:rsidR="007735B9" w:rsidRPr="0069784D" w:rsidRDefault="00546B63" w:rsidP="009C15CF">
      <w:pPr>
        <w:jc w:val="both"/>
        <w:rPr>
          <w:lang w:val="nl-BE"/>
        </w:rPr>
      </w:pPr>
      <w:r w:rsidRPr="0069784D">
        <w:rPr>
          <w:lang w:val="nl-BE"/>
        </w:rPr>
        <w:lastRenderedPageBreak/>
        <w:t xml:space="preserve">Praktisch gezien dient dus eerst het probleem van de strafbaarstelling opgelost </w:t>
      </w:r>
      <w:r w:rsidR="00F91817" w:rsidRPr="0069784D">
        <w:rPr>
          <w:lang w:val="nl-BE"/>
        </w:rPr>
        <w:t xml:space="preserve">te </w:t>
      </w:r>
      <w:r w:rsidRPr="0069784D">
        <w:rPr>
          <w:lang w:val="nl-BE"/>
        </w:rPr>
        <w:t xml:space="preserve">worden. Indien geconcludeerd kan worden dat feiten gepleegd overeenkomstig de vroegere wet wel degelijk nog steeds door de nieuwe wet strafbaar gesteld worden, dient vervolgens de vraag gesteld te worden welke straf </w:t>
      </w:r>
      <w:r w:rsidR="007573B5" w:rsidRPr="0069784D">
        <w:rPr>
          <w:lang w:val="nl-BE"/>
        </w:rPr>
        <w:t>opgelegd</w:t>
      </w:r>
      <w:r w:rsidRPr="0069784D">
        <w:rPr>
          <w:lang w:val="nl-BE"/>
        </w:rPr>
        <w:t xml:space="preserve"> </w:t>
      </w:r>
      <w:r w:rsidR="00F04974">
        <w:rPr>
          <w:lang w:val="nl-BE"/>
        </w:rPr>
        <w:t>moet</w:t>
      </w:r>
      <w:r w:rsidRPr="0069784D">
        <w:rPr>
          <w:lang w:val="nl-BE"/>
        </w:rPr>
        <w:t xml:space="preserve"> worden. </w:t>
      </w:r>
    </w:p>
    <w:p w14:paraId="59621064" w14:textId="77777777" w:rsidR="0034327B" w:rsidRPr="0069784D" w:rsidRDefault="0034327B" w:rsidP="009C15CF">
      <w:pPr>
        <w:jc w:val="both"/>
        <w:rPr>
          <w:lang w:val="nl-BE"/>
        </w:rPr>
      </w:pPr>
    </w:p>
    <w:p w14:paraId="221BA02D" w14:textId="249C83FF" w:rsidR="007735B9" w:rsidRPr="0069784D" w:rsidRDefault="00941890" w:rsidP="009C15CF">
      <w:pPr>
        <w:pStyle w:val="Heading2"/>
        <w:jc w:val="both"/>
        <w:rPr>
          <w:b/>
          <w:color w:val="auto"/>
          <w:sz w:val="36"/>
          <w:szCs w:val="36"/>
          <w:lang w:val="nl-BE"/>
        </w:rPr>
      </w:pPr>
      <w:bookmarkStart w:id="58" w:name="_Toc104134080"/>
      <w:r w:rsidRPr="0069784D">
        <w:rPr>
          <w:b/>
          <w:color w:val="auto"/>
          <w:sz w:val="36"/>
          <w:szCs w:val="36"/>
          <w:lang w:val="nl-BE"/>
        </w:rPr>
        <w:t>Conflict tussen strafwetten</w:t>
      </w:r>
      <w:bookmarkEnd w:id="58"/>
    </w:p>
    <w:p w14:paraId="5418D8FE" w14:textId="77777777" w:rsidR="00941890" w:rsidRPr="0069784D" w:rsidRDefault="00941890" w:rsidP="009C15CF">
      <w:pPr>
        <w:jc w:val="both"/>
        <w:rPr>
          <w:lang w:val="nl-BE"/>
        </w:rPr>
      </w:pPr>
    </w:p>
    <w:p w14:paraId="18DC9BA4" w14:textId="33B74686" w:rsidR="007735B9" w:rsidRPr="0069784D" w:rsidRDefault="00941890" w:rsidP="009C15CF">
      <w:pPr>
        <w:jc w:val="both"/>
        <w:rPr>
          <w:u w:val="single"/>
          <w:lang w:val="nl-BE"/>
        </w:rPr>
      </w:pPr>
      <w:r w:rsidRPr="0069784D">
        <w:rPr>
          <w:lang w:val="nl-BE"/>
        </w:rPr>
        <w:t xml:space="preserve">De magistraat van het Openbaar Ministerie dient in eerste instantie steeds na te gaan of de onder het toepassingsgebied van de vroegere wet gepleegde en door deze wet bestrafte feiten nog steeds door de nieuwe wet strafbaar gesteld worden. </w:t>
      </w:r>
    </w:p>
    <w:p w14:paraId="624BAC61" w14:textId="79415AC2" w:rsidR="007735B9" w:rsidRPr="0069784D" w:rsidRDefault="00DE19C2" w:rsidP="009C15CF">
      <w:pPr>
        <w:jc w:val="both"/>
        <w:rPr>
          <w:lang w:val="nl-BE"/>
        </w:rPr>
      </w:pPr>
      <w:r w:rsidRPr="0069784D">
        <w:rPr>
          <w:b/>
          <w:lang w:val="nl-BE"/>
        </w:rPr>
        <w:t xml:space="preserve">Er zijn </w:t>
      </w:r>
      <w:r w:rsidRPr="0069784D">
        <w:rPr>
          <w:b/>
          <w:i/>
          <w:iCs/>
          <w:lang w:val="nl-BE"/>
        </w:rPr>
        <w:t>grosso modo</w:t>
      </w:r>
      <w:r w:rsidRPr="0069784D">
        <w:rPr>
          <w:b/>
          <w:lang w:val="nl-BE"/>
        </w:rPr>
        <w:t xml:space="preserve"> meerdere hypotheses mogelijk, die elk een andere oplossing vereisen:</w:t>
      </w:r>
    </w:p>
    <w:p w14:paraId="0C210239" w14:textId="437DE354" w:rsidR="007735B9" w:rsidRPr="0069784D" w:rsidRDefault="00DE19C2" w:rsidP="009C15CF">
      <w:pPr>
        <w:pStyle w:val="ListParagraph"/>
        <w:numPr>
          <w:ilvl w:val="0"/>
          <w:numId w:val="13"/>
        </w:numPr>
        <w:spacing w:line="256" w:lineRule="auto"/>
        <w:jc w:val="both"/>
        <w:rPr>
          <w:lang w:val="nl-BE"/>
        </w:rPr>
      </w:pPr>
      <w:r w:rsidRPr="0069784D">
        <w:rPr>
          <w:lang w:val="nl-BE"/>
        </w:rPr>
        <w:t>Wanneer een handeling strafbaar was overeenkomstig de vroeger</w:t>
      </w:r>
      <w:r w:rsidR="00F91817" w:rsidRPr="0069784D">
        <w:rPr>
          <w:lang w:val="nl-BE"/>
        </w:rPr>
        <w:t>e</w:t>
      </w:r>
      <w:r w:rsidRPr="0069784D">
        <w:rPr>
          <w:lang w:val="nl-BE"/>
        </w:rPr>
        <w:t xml:space="preserve"> wet maar niet langer overeenkomstig de nieuwe, vervalt de strafvordering</w:t>
      </w:r>
      <w:r w:rsidR="007735B9" w:rsidRPr="0069784D">
        <w:rPr>
          <w:lang w:val="nl-BE"/>
        </w:rPr>
        <w:t>.</w:t>
      </w:r>
    </w:p>
    <w:p w14:paraId="695EF748" w14:textId="272BCF3A" w:rsidR="007735B9" w:rsidRPr="0069784D" w:rsidRDefault="00D202D0" w:rsidP="009C15CF">
      <w:pPr>
        <w:pStyle w:val="ListParagraph"/>
        <w:numPr>
          <w:ilvl w:val="0"/>
          <w:numId w:val="13"/>
        </w:numPr>
        <w:spacing w:line="256" w:lineRule="auto"/>
        <w:jc w:val="both"/>
        <w:rPr>
          <w:lang w:val="nl-BE"/>
        </w:rPr>
      </w:pPr>
      <w:r w:rsidRPr="0069784D">
        <w:rPr>
          <w:lang w:val="nl-BE"/>
        </w:rPr>
        <w:t xml:space="preserve">Wanneer een handeling niet strafbaar is op het moment dat ze gepleegd wordt, maar wel strafbaar wordt overeenkomstig de nieuwe wet, dan kan de dader niet vervolgd worden of dient de </w:t>
      </w:r>
      <w:r w:rsidR="007573B5" w:rsidRPr="0069784D">
        <w:rPr>
          <w:lang w:val="nl-BE"/>
        </w:rPr>
        <w:t xml:space="preserve">beklaagde </w:t>
      </w:r>
      <w:r w:rsidRPr="0069784D">
        <w:rPr>
          <w:lang w:val="nl-BE"/>
        </w:rPr>
        <w:t xml:space="preserve">vrijgesproken te worden. </w:t>
      </w:r>
    </w:p>
    <w:p w14:paraId="7B41764B" w14:textId="2BE22922" w:rsidR="007735B9" w:rsidRPr="0069784D" w:rsidRDefault="00D202D0" w:rsidP="009C15CF">
      <w:pPr>
        <w:pStyle w:val="ListParagraph"/>
        <w:numPr>
          <w:ilvl w:val="0"/>
          <w:numId w:val="13"/>
        </w:numPr>
        <w:spacing w:line="256" w:lineRule="auto"/>
        <w:jc w:val="both"/>
        <w:rPr>
          <w:lang w:val="nl-BE"/>
        </w:rPr>
      </w:pPr>
      <w:r w:rsidRPr="0069784D">
        <w:rPr>
          <w:lang w:val="nl-BE"/>
        </w:rPr>
        <w:t>Indien tussen het moment van het plegen van het misdrijf en het uitspreken van het vonnis een handeling niet langer strafbaar gesteld werd, terwijl dit wel het geval was op het moment dat ze gepleegd werd én op het moment dat het vonnis uitgesproken wordt, dan vervalt de</w:t>
      </w:r>
      <w:r w:rsidR="00F91817" w:rsidRPr="0069784D">
        <w:rPr>
          <w:lang w:val="nl-BE"/>
        </w:rPr>
        <w:t xml:space="preserve"> strafvordering</w:t>
      </w:r>
      <w:r w:rsidR="007735B9" w:rsidRPr="0069784D">
        <w:rPr>
          <w:lang w:val="nl-BE"/>
        </w:rPr>
        <w:t>.</w:t>
      </w:r>
    </w:p>
    <w:p w14:paraId="19642617" w14:textId="56B99C44" w:rsidR="007735B9" w:rsidRPr="0069784D" w:rsidRDefault="00D202D0" w:rsidP="009C15CF">
      <w:pPr>
        <w:pStyle w:val="ListParagraph"/>
        <w:numPr>
          <w:ilvl w:val="0"/>
          <w:numId w:val="13"/>
        </w:numPr>
        <w:spacing w:line="256" w:lineRule="auto"/>
        <w:jc w:val="both"/>
        <w:rPr>
          <w:lang w:val="nl-BE"/>
        </w:rPr>
      </w:pPr>
      <w:r w:rsidRPr="0069784D">
        <w:rPr>
          <w:lang w:val="nl-BE"/>
        </w:rPr>
        <w:t>Een handeling is strafbaar overeenkomstig de vroegere wet en is dat nog steeds overeenkomstig de nieuwe</w:t>
      </w:r>
      <w:r w:rsidR="007573B5" w:rsidRPr="0069784D">
        <w:rPr>
          <w:lang w:val="nl-BE"/>
        </w:rPr>
        <w:t>.</w:t>
      </w:r>
    </w:p>
    <w:p w14:paraId="32160A29" w14:textId="0258D7F2" w:rsidR="007735B9" w:rsidRPr="0069784D" w:rsidRDefault="00D202D0" w:rsidP="009C15CF">
      <w:pPr>
        <w:jc w:val="both"/>
        <w:rPr>
          <w:lang w:val="nl-BE"/>
        </w:rPr>
      </w:pPr>
      <w:r w:rsidRPr="0069784D">
        <w:rPr>
          <w:lang w:val="nl-BE"/>
        </w:rPr>
        <w:t xml:space="preserve">De eerste drie situaties zullen amper problemen stellen, maar voor de vierde kan het daarentegen delicater worden om </w:t>
      </w:r>
      <w:r w:rsidR="00F04974">
        <w:rPr>
          <w:lang w:val="nl-BE"/>
        </w:rPr>
        <w:t>op te lossen</w:t>
      </w:r>
      <w:r w:rsidR="007735B9" w:rsidRPr="0069784D">
        <w:rPr>
          <w:lang w:val="nl-BE"/>
        </w:rPr>
        <w:t xml:space="preserve">.  </w:t>
      </w:r>
    </w:p>
    <w:p w14:paraId="12909D84" w14:textId="5502A6EE" w:rsidR="007735B9" w:rsidRPr="0069784D" w:rsidRDefault="00EF4FA0" w:rsidP="009C15CF">
      <w:pPr>
        <w:jc w:val="both"/>
        <w:rPr>
          <w:lang w:val="nl-BE"/>
        </w:rPr>
      </w:pPr>
      <w:r w:rsidRPr="0069784D">
        <w:rPr>
          <w:lang w:val="nl-BE"/>
        </w:rPr>
        <w:t xml:space="preserve">Indien de door de vroegere wet strafbaar gestelde handeling op een identieke of gelijkaardige manier of op dezelfde voorwaarden door de nieuwe wet strafbaar gesteld wordt, dan blijft het misdrijf strafbaar. </w:t>
      </w:r>
    </w:p>
    <w:p w14:paraId="50F78387" w14:textId="76A5C05B" w:rsidR="007735B9" w:rsidRPr="0069784D" w:rsidRDefault="00EF4FA0" w:rsidP="009C15CF">
      <w:pPr>
        <w:jc w:val="both"/>
        <w:rPr>
          <w:lang w:val="nl-BE"/>
        </w:rPr>
      </w:pPr>
      <w:r w:rsidRPr="0069784D">
        <w:rPr>
          <w:lang w:val="nl-BE"/>
        </w:rPr>
        <w:t xml:space="preserve">Indien de handeling evenwel onder verschillende voorwaarden strafbaar is gesteld, is het voor de uitoefening van </w:t>
      </w:r>
      <w:r w:rsidR="00097D4A" w:rsidRPr="0069784D">
        <w:rPr>
          <w:lang w:val="nl-BE"/>
        </w:rPr>
        <w:t xml:space="preserve">de </w:t>
      </w:r>
      <w:r w:rsidRPr="0069784D">
        <w:rPr>
          <w:lang w:val="nl-BE"/>
        </w:rPr>
        <w:t xml:space="preserve">vervolging vereist dat de aan de beklaagde </w:t>
      </w:r>
      <w:r w:rsidR="00097D4A" w:rsidRPr="0069784D">
        <w:rPr>
          <w:lang w:val="nl-BE"/>
        </w:rPr>
        <w:t>ten laste gelegde feiten</w:t>
      </w:r>
      <w:r w:rsidRPr="0069784D">
        <w:rPr>
          <w:lang w:val="nl-BE"/>
        </w:rPr>
        <w:t xml:space="preserve"> </w:t>
      </w:r>
      <w:r w:rsidR="00097D4A" w:rsidRPr="0069784D">
        <w:rPr>
          <w:lang w:val="nl-BE"/>
        </w:rPr>
        <w:t>door</w:t>
      </w:r>
      <w:r w:rsidRPr="0069784D">
        <w:rPr>
          <w:lang w:val="nl-BE"/>
        </w:rPr>
        <w:t xml:space="preserve"> beide wetgevingen </w:t>
      </w:r>
      <w:r w:rsidR="00097D4A" w:rsidRPr="0069784D">
        <w:rPr>
          <w:lang w:val="nl-BE"/>
        </w:rPr>
        <w:t>strafbaar gesteld worden</w:t>
      </w:r>
      <w:r w:rsidRPr="0069784D">
        <w:rPr>
          <w:lang w:val="nl-BE"/>
        </w:rPr>
        <w:t xml:space="preserve">, </w:t>
      </w:r>
      <w:r w:rsidR="00097D4A" w:rsidRPr="0069784D">
        <w:rPr>
          <w:lang w:val="nl-BE"/>
        </w:rPr>
        <w:t>met andere woorden</w:t>
      </w:r>
      <w:r w:rsidRPr="0069784D">
        <w:rPr>
          <w:lang w:val="nl-BE"/>
        </w:rPr>
        <w:t xml:space="preserve"> zowel op het tijdstip waarop </w:t>
      </w:r>
      <w:r w:rsidR="00097D4A" w:rsidRPr="0069784D">
        <w:rPr>
          <w:lang w:val="nl-BE"/>
        </w:rPr>
        <w:t>het werd gepleegd als op dat van het vonnis</w:t>
      </w:r>
      <w:r w:rsidR="007735B9" w:rsidRPr="0069784D">
        <w:rPr>
          <w:lang w:val="nl-BE"/>
        </w:rPr>
        <w:t xml:space="preserve"> (Cass., 22 jan</w:t>
      </w:r>
      <w:r w:rsidRPr="0069784D">
        <w:rPr>
          <w:lang w:val="nl-BE"/>
        </w:rPr>
        <w:t>uari</w:t>
      </w:r>
      <w:r w:rsidR="007735B9" w:rsidRPr="0069784D">
        <w:rPr>
          <w:lang w:val="nl-BE"/>
        </w:rPr>
        <w:t xml:space="preserve"> 2013, Pas., 2013, p. 113.). </w:t>
      </w:r>
      <w:r w:rsidR="00097D4A" w:rsidRPr="0069784D">
        <w:rPr>
          <w:lang w:val="nl-BE"/>
        </w:rPr>
        <w:t xml:space="preserve">De beoordeling dient </w:t>
      </w:r>
      <w:r w:rsidR="00097D4A" w:rsidRPr="0069784D">
        <w:rPr>
          <w:i/>
          <w:iCs/>
          <w:lang w:val="nl-BE"/>
        </w:rPr>
        <w:t>in concreto</w:t>
      </w:r>
      <w:r w:rsidR="00097D4A" w:rsidRPr="0069784D">
        <w:rPr>
          <w:lang w:val="nl-BE"/>
        </w:rPr>
        <w:t xml:space="preserve"> te gebeuren.</w:t>
      </w:r>
    </w:p>
    <w:p w14:paraId="427DC32F" w14:textId="5F6F8BFC" w:rsidR="007735B9" w:rsidRPr="0069784D" w:rsidRDefault="005E6BF2" w:rsidP="009C15CF">
      <w:pPr>
        <w:jc w:val="both"/>
        <w:rPr>
          <w:lang w:val="nl-BE"/>
        </w:rPr>
      </w:pPr>
      <w:r w:rsidRPr="0069784D">
        <w:rPr>
          <w:lang w:val="nl-BE"/>
        </w:rPr>
        <w:t xml:space="preserve">Indien de nieuwe wetgeving </w:t>
      </w:r>
      <w:r w:rsidR="00E15B46" w:rsidRPr="0069784D">
        <w:rPr>
          <w:lang w:val="nl-BE"/>
        </w:rPr>
        <w:t>een bijkom</w:t>
      </w:r>
      <w:r w:rsidR="009B23E6" w:rsidRPr="0069784D">
        <w:rPr>
          <w:lang w:val="nl-BE"/>
        </w:rPr>
        <w:t>end</w:t>
      </w:r>
      <w:r w:rsidR="00E15B46" w:rsidRPr="0069784D">
        <w:rPr>
          <w:lang w:val="nl-BE"/>
        </w:rPr>
        <w:t xml:space="preserve"> constitutief element </w:t>
      </w:r>
      <w:r w:rsidR="009B23E6" w:rsidRPr="0069784D">
        <w:rPr>
          <w:lang w:val="nl-BE"/>
        </w:rPr>
        <w:t>invoert in vergelijking met de oudere wetgeving</w:t>
      </w:r>
      <w:r w:rsidR="002736C0" w:rsidRPr="0069784D">
        <w:rPr>
          <w:lang w:val="nl-BE"/>
        </w:rPr>
        <w:t>, blijft het feit bijgevolg enkel strafbaar indien dit nieuwe element concreet aanwezig is terwijl het niet vereist was op het moment dat de feiten gepleegd werden.</w:t>
      </w:r>
    </w:p>
    <w:p w14:paraId="6DB5C68D" w14:textId="5B62834D" w:rsidR="007735B9" w:rsidRPr="0069784D" w:rsidRDefault="002736C0" w:rsidP="009C15CF">
      <w:pPr>
        <w:jc w:val="both"/>
        <w:rPr>
          <w:lang w:val="nl-BE"/>
        </w:rPr>
      </w:pPr>
      <w:r w:rsidRPr="0069784D">
        <w:rPr>
          <w:lang w:val="nl-BE"/>
        </w:rPr>
        <w:t xml:space="preserve">Ingeval de door de vroegere wet strafbaar gestelde feiten ook door de nieuwe wet strafbaar gesteld worden, dienen de feiten in alle rechtsplegingsstukken gekwalificeerd te worden aan de hand van de bepalingen en kwalificaties die van toepassing zijn op het moment dat de zaak aan de rechtbank voorgelegd wordt, met de precisering dat deze feiten voorheen </w:t>
      </w:r>
      <w:r w:rsidR="00F91817" w:rsidRPr="0069784D">
        <w:rPr>
          <w:lang w:val="nl-BE"/>
        </w:rPr>
        <w:t xml:space="preserve">eveneens </w:t>
      </w:r>
      <w:r w:rsidRPr="0069784D">
        <w:rPr>
          <w:lang w:val="nl-BE"/>
        </w:rPr>
        <w:t xml:space="preserve">door de vroegere </w:t>
      </w:r>
      <w:r w:rsidR="00FC549B" w:rsidRPr="0069784D">
        <w:rPr>
          <w:lang w:val="nl-BE"/>
        </w:rPr>
        <w:lastRenderedPageBreak/>
        <w:t>wetsbepalingen</w:t>
      </w:r>
      <w:r w:rsidRPr="0069784D">
        <w:rPr>
          <w:lang w:val="nl-BE"/>
        </w:rPr>
        <w:t xml:space="preserve"> strafbaar gesteld en bestraft werden, </w:t>
      </w:r>
      <w:r w:rsidR="00FC549B" w:rsidRPr="0069784D">
        <w:rPr>
          <w:lang w:val="nl-BE"/>
        </w:rPr>
        <w:t xml:space="preserve">bepalingen </w:t>
      </w:r>
      <w:r w:rsidRPr="0069784D">
        <w:rPr>
          <w:lang w:val="nl-BE"/>
        </w:rPr>
        <w:t xml:space="preserve">die bovendien ook opgesomd moeten worden. </w:t>
      </w:r>
    </w:p>
    <w:p w14:paraId="5988376A" w14:textId="77777777" w:rsidR="0089214F" w:rsidRPr="0069784D" w:rsidRDefault="0089214F" w:rsidP="009C15CF">
      <w:pPr>
        <w:pStyle w:val="Heading2"/>
        <w:jc w:val="both"/>
        <w:rPr>
          <w:bCs/>
          <w:color w:val="auto"/>
          <w:sz w:val="22"/>
          <w:szCs w:val="22"/>
          <w:lang w:val="nl-BE"/>
        </w:rPr>
      </w:pPr>
      <w:bookmarkStart w:id="59" w:name="_Toc104134081"/>
    </w:p>
    <w:p w14:paraId="15E59614" w14:textId="1D40E514" w:rsidR="007735B9" w:rsidRPr="0069784D" w:rsidRDefault="007735B9" w:rsidP="009C15CF">
      <w:pPr>
        <w:pStyle w:val="Heading2"/>
        <w:jc w:val="both"/>
        <w:rPr>
          <w:b/>
          <w:color w:val="auto"/>
          <w:sz w:val="36"/>
          <w:szCs w:val="36"/>
          <w:lang w:val="nl-BE"/>
        </w:rPr>
      </w:pPr>
      <w:r w:rsidRPr="0069784D">
        <w:rPr>
          <w:b/>
          <w:color w:val="auto"/>
          <w:sz w:val="36"/>
          <w:szCs w:val="36"/>
          <w:lang w:val="nl-BE"/>
        </w:rPr>
        <w:t>Confli</w:t>
      </w:r>
      <w:r w:rsidR="00D202D0" w:rsidRPr="0069784D">
        <w:rPr>
          <w:b/>
          <w:color w:val="auto"/>
          <w:sz w:val="36"/>
          <w:szCs w:val="36"/>
          <w:lang w:val="nl-BE"/>
        </w:rPr>
        <w:t>ct tussen wetten die in verschillende straffen voorzien</w:t>
      </w:r>
      <w:bookmarkEnd w:id="59"/>
    </w:p>
    <w:p w14:paraId="19D6B039" w14:textId="77777777" w:rsidR="00D202D0" w:rsidRPr="0069784D" w:rsidRDefault="00D202D0" w:rsidP="009C15CF">
      <w:pPr>
        <w:rPr>
          <w:lang w:val="nl-BE"/>
        </w:rPr>
      </w:pPr>
    </w:p>
    <w:p w14:paraId="23BB340A" w14:textId="6D5408BF" w:rsidR="007735B9" w:rsidRPr="0069784D" w:rsidRDefault="00FC549B" w:rsidP="009C15CF">
      <w:pPr>
        <w:jc w:val="both"/>
        <w:rPr>
          <w:lang w:val="nl-BE"/>
        </w:rPr>
      </w:pPr>
      <w:r w:rsidRPr="0069784D">
        <w:rPr>
          <w:lang w:val="nl-BE"/>
        </w:rPr>
        <w:t>Het bepalen van de zwaarste straf gebeurt op basis van een vergelijking van de wet die van toepassing was op het moment waarop de feiten gepleegd wer</w:t>
      </w:r>
      <w:r w:rsidR="00F91817" w:rsidRPr="0069784D">
        <w:rPr>
          <w:lang w:val="nl-BE"/>
        </w:rPr>
        <w:t>d</w:t>
      </w:r>
      <w:r w:rsidRPr="0069784D">
        <w:rPr>
          <w:lang w:val="nl-BE"/>
        </w:rPr>
        <w:t xml:space="preserve">en en deze die van toepassing was op het moment van de uitspraak. </w:t>
      </w:r>
    </w:p>
    <w:p w14:paraId="5FC83501" w14:textId="2AE8E068" w:rsidR="007735B9" w:rsidRPr="0069784D" w:rsidRDefault="007735B9" w:rsidP="009C15CF">
      <w:pPr>
        <w:jc w:val="both"/>
        <w:rPr>
          <w:lang w:val="nl-BE"/>
        </w:rPr>
      </w:pPr>
      <w:r w:rsidRPr="0069784D">
        <w:rPr>
          <w:lang w:val="nl-BE"/>
        </w:rPr>
        <w:t>I</w:t>
      </w:r>
      <w:r w:rsidR="00FC549B" w:rsidRPr="0069784D">
        <w:rPr>
          <w:lang w:val="nl-BE"/>
        </w:rPr>
        <w:t xml:space="preserve">n de praktijk gaat het er eerder om twee strafstelsels te vergelijken in plaats van twee straffen in de strikte zin van het woord. Het Hof van Cassatie stelde in dit opzicht dat de relatieve zwaarte van twee straffen niet enkel afgemeten wordt op grond van de duur en de strafmaat ervan, maar ook op grond van de aard (crimineel, correctioneel of politiestraf), </w:t>
      </w:r>
      <w:r w:rsidR="006A37E4" w:rsidRPr="0069784D">
        <w:rPr>
          <w:lang w:val="nl-BE"/>
        </w:rPr>
        <w:t xml:space="preserve">het karakter </w:t>
      </w:r>
      <w:r w:rsidR="00FC549B" w:rsidRPr="0069784D">
        <w:rPr>
          <w:lang w:val="nl-BE"/>
        </w:rPr>
        <w:t xml:space="preserve">(gemeenrechtelijk </w:t>
      </w:r>
      <w:r w:rsidR="006A37E4" w:rsidRPr="0069784D">
        <w:rPr>
          <w:lang w:val="nl-BE"/>
        </w:rPr>
        <w:t xml:space="preserve">of strafrechtelijk, bijvoorbeeld een hechtenis), het verplichte of facultatieve karakter of het voorwerp ervan </w:t>
      </w:r>
      <w:r w:rsidRPr="0069784D">
        <w:rPr>
          <w:lang w:val="nl-BE"/>
        </w:rPr>
        <w:t>(Cass. 28 f</w:t>
      </w:r>
      <w:r w:rsidR="00665E8E" w:rsidRPr="0069784D">
        <w:rPr>
          <w:lang w:val="nl-BE"/>
        </w:rPr>
        <w:t>ebruari</w:t>
      </w:r>
      <w:r w:rsidRPr="0069784D">
        <w:rPr>
          <w:lang w:val="nl-BE"/>
        </w:rPr>
        <w:t xml:space="preserve"> 2007,</w:t>
      </w:r>
      <w:r w:rsidR="00BF21D5" w:rsidRPr="0069784D">
        <w:rPr>
          <w:lang w:val="nl-BE"/>
        </w:rPr>
        <w:t xml:space="preserve"> </w:t>
      </w:r>
      <w:r w:rsidRPr="0069784D">
        <w:rPr>
          <w:lang w:val="nl-BE"/>
        </w:rPr>
        <w:t>Pas., 2007, p. 427)</w:t>
      </w:r>
      <w:r w:rsidR="00665E8E" w:rsidRPr="0069784D">
        <w:rPr>
          <w:lang w:val="nl-BE"/>
        </w:rPr>
        <w:t>.</w:t>
      </w:r>
    </w:p>
    <w:p w14:paraId="1EA64B3F" w14:textId="4BE0772E" w:rsidR="007735B9" w:rsidRPr="0069784D" w:rsidRDefault="006A37E4" w:rsidP="009C15CF">
      <w:pPr>
        <w:jc w:val="both"/>
        <w:rPr>
          <w:lang w:val="nl-BE"/>
        </w:rPr>
      </w:pPr>
      <w:r w:rsidRPr="0069784D">
        <w:rPr>
          <w:lang w:val="nl-BE"/>
        </w:rPr>
        <w:t xml:space="preserve">In eerste instantie dienen dus de hoofdstraffen vergeleken te worden. Wanneer </w:t>
      </w:r>
      <w:r w:rsidR="005E5682" w:rsidRPr="0069784D">
        <w:rPr>
          <w:lang w:val="nl-BE"/>
        </w:rPr>
        <w:t xml:space="preserve">op basis van </w:t>
      </w:r>
      <w:r w:rsidRPr="0069784D">
        <w:rPr>
          <w:lang w:val="nl-BE"/>
        </w:rPr>
        <w:t xml:space="preserve">de vergelijking van de opeenvolgende hoofdstraffen </w:t>
      </w:r>
      <w:r w:rsidR="005E5682" w:rsidRPr="0069784D">
        <w:rPr>
          <w:lang w:val="nl-BE"/>
        </w:rPr>
        <w:t xml:space="preserve">geen beslissing genomen kan worden, wordt deze vergelijking uitgebreid tot de bijkomende en eventueel de </w:t>
      </w:r>
      <w:r w:rsidR="004D71B2" w:rsidRPr="0069784D">
        <w:rPr>
          <w:lang w:val="nl-BE"/>
        </w:rPr>
        <w:t>vervangende</w:t>
      </w:r>
      <w:r w:rsidR="00F91817" w:rsidRPr="0069784D">
        <w:rPr>
          <w:lang w:val="nl-BE"/>
        </w:rPr>
        <w:t xml:space="preserve"> </w:t>
      </w:r>
      <w:r w:rsidR="005E5682" w:rsidRPr="0069784D">
        <w:rPr>
          <w:lang w:val="nl-BE"/>
        </w:rPr>
        <w:t xml:space="preserve">straffen. </w:t>
      </w:r>
    </w:p>
    <w:p w14:paraId="6CA1683B" w14:textId="442D7D3A" w:rsidR="007735B9" w:rsidRPr="0069784D" w:rsidRDefault="00CC4D05" w:rsidP="009C15CF">
      <w:pPr>
        <w:jc w:val="both"/>
        <w:rPr>
          <w:lang w:val="nl-BE"/>
        </w:rPr>
      </w:pPr>
      <w:r w:rsidRPr="0069784D">
        <w:rPr>
          <w:lang w:val="nl-BE"/>
        </w:rPr>
        <w:t>In geval van een wijziging van het stelsel van de wettelijke herhaling zal de rechter de straffen dienen te vergelijken die omwille van r</w:t>
      </w:r>
      <w:r w:rsidR="00343758" w:rsidRPr="0069784D">
        <w:rPr>
          <w:lang w:val="nl-BE"/>
        </w:rPr>
        <w:t>e</w:t>
      </w:r>
      <w:r w:rsidRPr="0069784D">
        <w:rPr>
          <w:lang w:val="nl-BE"/>
        </w:rPr>
        <w:t xml:space="preserve">cidive opgelegd kunnen worden indien de voorwaarden ervan </w:t>
      </w:r>
      <w:r w:rsidRPr="0069784D">
        <w:rPr>
          <w:i/>
          <w:iCs/>
          <w:lang w:val="nl-BE"/>
        </w:rPr>
        <w:t>in concreto</w:t>
      </w:r>
      <w:r w:rsidRPr="0069784D">
        <w:rPr>
          <w:lang w:val="nl-BE"/>
        </w:rPr>
        <w:t xml:space="preserve"> zowel overeenkomstig de vroegere als de nieuwe wet vervuld zijn</w:t>
      </w:r>
      <w:r w:rsidR="007735B9" w:rsidRPr="0069784D">
        <w:rPr>
          <w:lang w:val="nl-BE"/>
        </w:rPr>
        <w:t>.</w:t>
      </w:r>
    </w:p>
    <w:p w14:paraId="0728900E" w14:textId="77777777" w:rsidR="00AC0C8C" w:rsidRPr="0069784D" w:rsidRDefault="00AC0C8C" w:rsidP="009C15CF">
      <w:pPr>
        <w:jc w:val="both"/>
        <w:rPr>
          <w:lang w:val="nl-BE"/>
        </w:rPr>
      </w:pPr>
    </w:p>
    <w:p w14:paraId="3A2B1CDD" w14:textId="7D48F9D9" w:rsidR="007735B9" w:rsidRPr="0069784D" w:rsidRDefault="00FC549B" w:rsidP="009C15CF">
      <w:pPr>
        <w:jc w:val="both"/>
        <w:rPr>
          <w:b/>
          <w:lang w:val="nl-BE"/>
        </w:rPr>
      </w:pPr>
      <w:r w:rsidRPr="0069784D">
        <w:rPr>
          <w:b/>
          <w:lang w:val="nl-BE"/>
        </w:rPr>
        <w:t>Met volgende</w:t>
      </w:r>
      <w:r w:rsidR="005E5682" w:rsidRPr="0069784D">
        <w:rPr>
          <w:b/>
          <w:lang w:val="nl-BE"/>
        </w:rPr>
        <w:t xml:space="preserve"> </w:t>
      </w:r>
      <w:r w:rsidRPr="0069784D">
        <w:rPr>
          <w:b/>
          <w:lang w:val="nl-BE"/>
        </w:rPr>
        <w:t>criteria betreffende de</w:t>
      </w:r>
      <w:r w:rsidR="0087030A" w:rsidRPr="0069784D">
        <w:rPr>
          <w:b/>
          <w:lang w:val="nl-BE"/>
        </w:rPr>
        <w:t xml:space="preserve"> zw</w:t>
      </w:r>
      <w:r w:rsidR="00F91817" w:rsidRPr="0069784D">
        <w:rPr>
          <w:b/>
          <w:lang w:val="nl-BE"/>
        </w:rPr>
        <w:t>a</w:t>
      </w:r>
      <w:r w:rsidR="0087030A" w:rsidRPr="0069784D">
        <w:rPr>
          <w:b/>
          <w:lang w:val="nl-BE"/>
        </w:rPr>
        <w:t>arte van de straffen dient rekening gehouden te worden</w:t>
      </w:r>
      <w:r w:rsidR="007735B9" w:rsidRPr="0069784D">
        <w:rPr>
          <w:b/>
          <w:lang w:val="nl-BE"/>
        </w:rPr>
        <w:t xml:space="preserve">: </w:t>
      </w:r>
    </w:p>
    <w:p w14:paraId="22FF1178" w14:textId="26FA4282" w:rsidR="007735B9" w:rsidRPr="0069784D" w:rsidRDefault="005E5682" w:rsidP="009C15CF">
      <w:pPr>
        <w:pStyle w:val="ListParagraph"/>
        <w:numPr>
          <w:ilvl w:val="0"/>
          <w:numId w:val="14"/>
        </w:numPr>
        <w:spacing w:line="256" w:lineRule="auto"/>
        <w:jc w:val="both"/>
        <w:rPr>
          <w:lang w:val="nl-BE"/>
        </w:rPr>
      </w:pPr>
      <w:r w:rsidRPr="0069784D">
        <w:rPr>
          <w:lang w:val="nl-BE"/>
        </w:rPr>
        <w:t>De aard van de hoofdstraf</w:t>
      </w:r>
      <w:r w:rsidR="007735B9" w:rsidRPr="0069784D">
        <w:rPr>
          <w:lang w:val="nl-BE"/>
        </w:rPr>
        <w:t xml:space="preserve">: </w:t>
      </w:r>
    </w:p>
    <w:p w14:paraId="2E4DF180" w14:textId="4FD148F6" w:rsidR="007735B9" w:rsidRPr="0069784D" w:rsidRDefault="0087030A" w:rsidP="009C15CF">
      <w:pPr>
        <w:ind w:left="720"/>
        <w:jc w:val="both"/>
        <w:rPr>
          <w:lang w:val="nl-BE"/>
        </w:rPr>
      </w:pPr>
      <w:r w:rsidRPr="0069784D">
        <w:rPr>
          <w:lang w:val="nl-BE"/>
        </w:rPr>
        <w:t>Een criminele straf is zwaarder dan een correctionele straf, die op haar beurt zwaarder is dan een eenvoudige politiestraf.</w:t>
      </w:r>
    </w:p>
    <w:p w14:paraId="7F368B38" w14:textId="29F2D7D5" w:rsidR="007735B9" w:rsidRPr="0069784D" w:rsidRDefault="0087030A" w:rsidP="009C15CF">
      <w:pPr>
        <w:pStyle w:val="ListParagraph"/>
        <w:numPr>
          <w:ilvl w:val="0"/>
          <w:numId w:val="14"/>
        </w:numPr>
        <w:spacing w:line="256" w:lineRule="auto"/>
        <w:jc w:val="both"/>
        <w:rPr>
          <w:lang w:val="nl-BE"/>
        </w:rPr>
      </w:pPr>
      <w:r w:rsidRPr="0069784D">
        <w:rPr>
          <w:lang w:val="nl-BE"/>
        </w:rPr>
        <w:t xml:space="preserve">Het </w:t>
      </w:r>
      <w:r w:rsidR="004D71B2" w:rsidRPr="0069784D">
        <w:rPr>
          <w:lang w:val="nl-BE"/>
        </w:rPr>
        <w:t xml:space="preserve">voorwerp </w:t>
      </w:r>
      <w:r w:rsidRPr="0069784D">
        <w:rPr>
          <w:lang w:val="nl-BE"/>
        </w:rPr>
        <w:t>van de hoofdstraf</w:t>
      </w:r>
      <w:r w:rsidR="007735B9" w:rsidRPr="0069784D">
        <w:rPr>
          <w:lang w:val="nl-BE"/>
        </w:rPr>
        <w:t>:</w:t>
      </w:r>
    </w:p>
    <w:p w14:paraId="6A87EDBC" w14:textId="29ACBF63" w:rsidR="007735B9" w:rsidRPr="0069784D" w:rsidRDefault="00393A85" w:rsidP="009C15CF">
      <w:pPr>
        <w:ind w:left="708"/>
        <w:jc w:val="both"/>
        <w:rPr>
          <w:lang w:val="nl-BE"/>
        </w:rPr>
      </w:pPr>
      <w:r w:rsidRPr="0069784D">
        <w:rPr>
          <w:lang w:val="nl-BE"/>
        </w:rPr>
        <w:t xml:space="preserve">Een vrijheidsberovende straf (opsluiting, hechtenis, gevangenisstraf en terbeschikkingstelling van de strafuitvoeringsrechtbank) is zwaarder dan een vermogensstraf (geldboete en verbeurdverklaring), ongeacht het bedrag en de duur van de </w:t>
      </w:r>
      <w:r w:rsidR="004D71B2" w:rsidRPr="0069784D">
        <w:rPr>
          <w:lang w:val="nl-BE"/>
        </w:rPr>
        <w:t>verva</w:t>
      </w:r>
      <w:r w:rsidR="007573B5" w:rsidRPr="0069784D">
        <w:rPr>
          <w:lang w:val="nl-BE"/>
        </w:rPr>
        <w:t>n</w:t>
      </w:r>
      <w:r w:rsidR="004D71B2" w:rsidRPr="0069784D">
        <w:rPr>
          <w:lang w:val="nl-BE"/>
        </w:rPr>
        <w:t>ge</w:t>
      </w:r>
      <w:r w:rsidR="00F91817" w:rsidRPr="0069784D">
        <w:rPr>
          <w:lang w:val="nl-BE"/>
        </w:rPr>
        <w:t>n</w:t>
      </w:r>
      <w:r w:rsidR="004D71B2" w:rsidRPr="0069784D">
        <w:rPr>
          <w:lang w:val="nl-BE"/>
        </w:rPr>
        <w:t>de</w:t>
      </w:r>
      <w:r w:rsidRPr="0069784D">
        <w:rPr>
          <w:lang w:val="nl-BE"/>
        </w:rPr>
        <w:t xml:space="preserve"> gevangenisstraf</w:t>
      </w:r>
      <w:r w:rsidR="007735B9" w:rsidRPr="0069784D">
        <w:rPr>
          <w:lang w:val="nl-BE"/>
        </w:rPr>
        <w:t xml:space="preserve">. </w:t>
      </w:r>
    </w:p>
    <w:p w14:paraId="7BB83204" w14:textId="4DFB2D46" w:rsidR="007735B9" w:rsidRPr="0069784D" w:rsidRDefault="00393A85" w:rsidP="009C15CF">
      <w:pPr>
        <w:ind w:left="708"/>
        <w:jc w:val="both"/>
        <w:rPr>
          <w:lang w:val="nl-BE"/>
        </w:rPr>
      </w:pPr>
      <w:r w:rsidRPr="0069784D">
        <w:rPr>
          <w:lang w:val="nl-BE"/>
        </w:rPr>
        <w:t xml:space="preserve">Een vrijheidsberovende straf is zwaarder dan een vrijheidsbeperkende straf (elektronisch toezicht, werkstraf, autonome probatiestraf). </w:t>
      </w:r>
    </w:p>
    <w:p w14:paraId="6463B2CB" w14:textId="1FFB7F40" w:rsidR="007735B9" w:rsidRPr="0069784D" w:rsidRDefault="00393A85" w:rsidP="009C15CF">
      <w:pPr>
        <w:ind w:left="708"/>
        <w:jc w:val="both"/>
        <w:rPr>
          <w:lang w:val="nl-BE"/>
        </w:rPr>
      </w:pPr>
      <w:r w:rsidRPr="0069784D">
        <w:rPr>
          <w:lang w:val="nl-BE"/>
        </w:rPr>
        <w:t xml:space="preserve">Een vrijheidsbeperkende straf is zwaarder dan een vermogensstraf. </w:t>
      </w:r>
    </w:p>
    <w:p w14:paraId="5FCF12F3" w14:textId="4E5E4E1C" w:rsidR="007735B9" w:rsidRPr="0069784D" w:rsidRDefault="00393A85" w:rsidP="009C15CF">
      <w:pPr>
        <w:ind w:left="708"/>
        <w:jc w:val="both"/>
        <w:rPr>
          <w:lang w:val="nl-BE"/>
        </w:rPr>
      </w:pPr>
      <w:r w:rsidRPr="0069784D">
        <w:rPr>
          <w:lang w:val="nl-BE"/>
        </w:rPr>
        <w:t>Een vermogensstraf is zwaarder dan een rechtsbeperkende straf (verbod, verval, ontzetting en sluiting</w:t>
      </w:r>
      <w:r w:rsidR="007573B5" w:rsidRPr="0069784D">
        <w:rPr>
          <w:lang w:val="nl-BE"/>
        </w:rPr>
        <w:t>).</w:t>
      </w:r>
    </w:p>
    <w:p w14:paraId="2616E220" w14:textId="77777777" w:rsidR="007735B9" w:rsidRPr="0069784D" w:rsidRDefault="007735B9" w:rsidP="009C15CF">
      <w:pPr>
        <w:ind w:left="708"/>
        <w:jc w:val="both"/>
        <w:rPr>
          <w:lang w:val="nl-BE"/>
        </w:rPr>
      </w:pPr>
    </w:p>
    <w:p w14:paraId="56EDA40A" w14:textId="21BFBAF4" w:rsidR="007735B9" w:rsidRPr="0069784D" w:rsidRDefault="00393A85" w:rsidP="009C15CF">
      <w:pPr>
        <w:ind w:left="708"/>
        <w:jc w:val="both"/>
        <w:rPr>
          <w:lang w:val="nl-BE"/>
        </w:rPr>
      </w:pPr>
      <w:r w:rsidRPr="0069784D">
        <w:rPr>
          <w:u w:val="single"/>
          <w:lang w:val="nl-BE"/>
        </w:rPr>
        <w:lastRenderedPageBreak/>
        <w:t>Samengevat</w:t>
      </w:r>
      <w:r w:rsidRPr="0069784D">
        <w:rPr>
          <w:lang w:val="nl-BE"/>
        </w:rPr>
        <w:t xml:space="preserve"> kan gesteld worden dat de hiërarchie van </w:t>
      </w:r>
      <w:r w:rsidR="00422E49" w:rsidRPr="0069784D">
        <w:rPr>
          <w:lang w:val="nl-BE"/>
        </w:rPr>
        <w:t xml:space="preserve">de hoofdstraffen op grond van het voorwerp ervan in </w:t>
      </w:r>
      <w:r w:rsidR="0099367B" w:rsidRPr="0069784D">
        <w:rPr>
          <w:lang w:val="nl-BE"/>
        </w:rPr>
        <w:t>dalende volgorde</w:t>
      </w:r>
      <w:r w:rsidR="00422E49" w:rsidRPr="0069784D">
        <w:rPr>
          <w:lang w:val="nl-BE"/>
        </w:rPr>
        <w:t xml:space="preserve"> als volgt voorgesteld kan worden:</w:t>
      </w:r>
      <w:r w:rsidR="00422E49" w:rsidRPr="0069784D">
        <w:rPr>
          <w:u w:val="single"/>
          <w:lang w:val="nl-BE"/>
        </w:rPr>
        <w:t xml:space="preserve"> </w:t>
      </w:r>
    </w:p>
    <w:p w14:paraId="75BAF93C" w14:textId="562C7045" w:rsidR="007735B9" w:rsidRPr="0069784D" w:rsidRDefault="007735B9" w:rsidP="009C15CF">
      <w:pPr>
        <w:ind w:left="708"/>
        <w:jc w:val="both"/>
        <w:rPr>
          <w:lang w:val="nl-BE"/>
        </w:rPr>
      </w:pPr>
      <w:r w:rsidRPr="0069784D">
        <w:rPr>
          <w:lang w:val="nl-BE"/>
        </w:rPr>
        <w:tab/>
        <w:t>.</w:t>
      </w:r>
      <w:r w:rsidRPr="0069784D">
        <w:rPr>
          <w:lang w:val="nl-BE"/>
        </w:rPr>
        <w:tab/>
      </w:r>
      <w:r w:rsidR="00422E49" w:rsidRPr="0069784D">
        <w:rPr>
          <w:lang w:val="nl-BE"/>
        </w:rPr>
        <w:t>vrijheidsberovende straf</w:t>
      </w:r>
      <w:r w:rsidRPr="0069784D">
        <w:rPr>
          <w:lang w:val="nl-BE"/>
        </w:rPr>
        <w:t>,</w:t>
      </w:r>
    </w:p>
    <w:p w14:paraId="20F85854" w14:textId="42F8A86A" w:rsidR="007735B9" w:rsidRPr="0069784D" w:rsidRDefault="007735B9" w:rsidP="009C15CF">
      <w:pPr>
        <w:ind w:left="708"/>
        <w:jc w:val="both"/>
        <w:rPr>
          <w:lang w:val="nl-BE"/>
        </w:rPr>
      </w:pPr>
      <w:r w:rsidRPr="0069784D">
        <w:rPr>
          <w:lang w:val="nl-BE"/>
        </w:rPr>
        <w:tab/>
        <w:t>.</w:t>
      </w:r>
      <w:r w:rsidRPr="0069784D">
        <w:rPr>
          <w:lang w:val="nl-BE"/>
        </w:rPr>
        <w:tab/>
      </w:r>
      <w:r w:rsidR="00422E49" w:rsidRPr="0069784D">
        <w:rPr>
          <w:lang w:val="nl-BE"/>
        </w:rPr>
        <w:t>straf van elektronisch to</w:t>
      </w:r>
      <w:r w:rsidR="0099367B" w:rsidRPr="0069784D">
        <w:rPr>
          <w:lang w:val="nl-BE"/>
        </w:rPr>
        <w:t>e</w:t>
      </w:r>
      <w:r w:rsidR="00422E49" w:rsidRPr="0069784D">
        <w:rPr>
          <w:lang w:val="nl-BE"/>
        </w:rPr>
        <w:t>zicht</w:t>
      </w:r>
      <w:r w:rsidRPr="0069784D">
        <w:rPr>
          <w:lang w:val="nl-BE"/>
        </w:rPr>
        <w:t>,</w:t>
      </w:r>
    </w:p>
    <w:p w14:paraId="726146C9" w14:textId="70A0919B" w:rsidR="007735B9" w:rsidRPr="0069784D" w:rsidRDefault="007735B9" w:rsidP="009C15CF">
      <w:pPr>
        <w:ind w:left="708"/>
        <w:jc w:val="both"/>
        <w:rPr>
          <w:lang w:val="nl-BE"/>
        </w:rPr>
      </w:pPr>
      <w:r w:rsidRPr="0069784D">
        <w:rPr>
          <w:lang w:val="nl-BE"/>
        </w:rPr>
        <w:tab/>
        <w:t>.</w:t>
      </w:r>
      <w:r w:rsidRPr="0069784D">
        <w:rPr>
          <w:lang w:val="nl-BE"/>
        </w:rPr>
        <w:tab/>
      </w:r>
      <w:r w:rsidR="00422E49" w:rsidRPr="0069784D">
        <w:rPr>
          <w:lang w:val="nl-BE"/>
        </w:rPr>
        <w:t>werkstraf,</w:t>
      </w:r>
    </w:p>
    <w:p w14:paraId="18E576AC" w14:textId="4B3CAAD3" w:rsidR="00AC0C8C" w:rsidRPr="0069784D" w:rsidRDefault="007735B9" w:rsidP="009C15CF">
      <w:pPr>
        <w:ind w:left="708"/>
        <w:jc w:val="both"/>
        <w:rPr>
          <w:lang w:val="nl-BE"/>
        </w:rPr>
      </w:pPr>
      <w:r w:rsidRPr="0069784D">
        <w:rPr>
          <w:lang w:val="nl-BE"/>
        </w:rPr>
        <w:tab/>
        <w:t>.</w:t>
      </w:r>
      <w:r w:rsidRPr="0069784D">
        <w:rPr>
          <w:lang w:val="nl-BE"/>
        </w:rPr>
        <w:tab/>
      </w:r>
      <w:r w:rsidR="00422E49" w:rsidRPr="0069784D">
        <w:rPr>
          <w:lang w:val="nl-BE"/>
        </w:rPr>
        <w:t>autonome probatiestraf</w:t>
      </w:r>
      <w:r w:rsidR="00AC0C8C" w:rsidRPr="0069784D">
        <w:rPr>
          <w:lang w:val="nl-BE"/>
        </w:rPr>
        <w:t>,</w:t>
      </w:r>
    </w:p>
    <w:p w14:paraId="36065C75" w14:textId="50CA88B8" w:rsidR="007735B9" w:rsidRPr="0069784D" w:rsidRDefault="00AC0C8C" w:rsidP="009C15CF">
      <w:pPr>
        <w:ind w:left="1440" w:hanging="732"/>
        <w:jc w:val="both"/>
        <w:rPr>
          <w:lang w:val="nl-BE"/>
        </w:rPr>
      </w:pPr>
      <w:r w:rsidRPr="0069784D">
        <w:rPr>
          <w:lang w:val="nl-BE"/>
        </w:rPr>
        <w:t>.</w:t>
      </w:r>
      <w:r w:rsidRPr="0069784D">
        <w:rPr>
          <w:lang w:val="nl-BE"/>
        </w:rPr>
        <w:tab/>
      </w:r>
      <w:r w:rsidR="00422E49" w:rsidRPr="0069784D">
        <w:rPr>
          <w:lang w:val="nl-BE"/>
        </w:rPr>
        <w:t>vermogensstraf, behalve wann</w:t>
      </w:r>
      <w:r w:rsidR="00610E0B" w:rsidRPr="0069784D">
        <w:rPr>
          <w:lang w:val="nl-BE"/>
        </w:rPr>
        <w:t>e</w:t>
      </w:r>
      <w:r w:rsidR="00422E49" w:rsidRPr="0069784D">
        <w:rPr>
          <w:lang w:val="nl-BE"/>
        </w:rPr>
        <w:t>er de rechtszoekende een vrijheidsbeperkende straf verkiest</w:t>
      </w:r>
      <w:r w:rsidR="007573B5" w:rsidRPr="0069784D">
        <w:rPr>
          <w:lang w:val="nl-BE"/>
        </w:rPr>
        <w:t>,</w:t>
      </w:r>
    </w:p>
    <w:p w14:paraId="2D15C248" w14:textId="23FE43FC" w:rsidR="007735B9" w:rsidRPr="0069784D" w:rsidRDefault="007735B9" w:rsidP="009C15CF">
      <w:pPr>
        <w:ind w:left="708"/>
        <w:jc w:val="both"/>
        <w:rPr>
          <w:lang w:val="fr-BE"/>
        </w:rPr>
      </w:pPr>
      <w:r w:rsidRPr="0069784D">
        <w:rPr>
          <w:lang w:val="nl-BE"/>
        </w:rPr>
        <w:tab/>
      </w:r>
      <w:r w:rsidRPr="0069784D">
        <w:rPr>
          <w:lang w:val="fr-BE"/>
        </w:rPr>
        <w:t>.</w:t>
      </w:r>
      <w:r w:rsidRPr="0069784D">
        <w:rPr>
          <w:lang w:val="fr-BE"/>
        </w:rPr>
        <w:tab/>
      </w:r>
      <w:r w:rsidR="00610E0B" w:rsidRPr="0069784D">
        <w:rPr>
          <w:lang w:val="fr-BE"/>
        </w:rPr>
        <w:t>rechts</w:t>
      </w:r>
      <w:r w:rsidR="00B045C3" w:rsidRPr="0069784D">
        <w:rPr>
          <w:lang w:val="fr-BE"/>
        </w:rPr>
        <w:t>ont</w:t>
      </w:r>
      <w:r w:rsidR="00F91817" w:rsidRPr="0069784D">
        <w:rPr>
          <w:lang w:val="fr-BE"/>
        </w:rPr>
        <w:t>n</w:t>
      </w:r>
      <w:r w:rsidR="00B045C3" w:rsidRPr="0069784D">
        <w:rPr>
          <w:lang w:val="fr-BE"/>
        </w:rPr>
        <w:t>emende</w:t>
      </w:r>
      <w:r w:rsidR="00610E0B" w:rsidRPr="0069784D">
        <w:rPr>
          <w:lang w:val="fr-BE"/>
        </w:rPr>
        <w:t xml:space="preserve"> straf</w:t>
      </w:r>
      <w:r w:rsidRPr="0069784D">
        <w:rPr>
          <w:lang w:val="fr-BE"/>
        </w:rPr>
        <w:t>.</w:t>
      </w:r>
    </w:p>
    <w:p w14:paraId="36CB0C77" w14:textId="77777777" w:rsidR="00AC0C8C" w:rsidRPr="0069784D" w:rsidRDefault="00AC0C8C" w:rsidP="009C15CF">
      <w:pPr>
        <w:ind w:left="708"/>
        <w:jc w:val="both"/>
        <w:rPr>
          <w:lang w:val="fr-BE"/>
        </w:rPr>
      </w:pPr>
    </w:p>
    <w:p w14:paraId="26A9EF93" w14:textId="66968341" w:rsidR="007735B9" w:rsidRPr="0069784D" w:rsidRDefault="0087030A" w:rsidP="009C15CF">
      <w:pPr>
        <w:pStyle w:val="ListParagraph"/>
        <w:numPr>
          <w:ilvl w:val="0"/>
          <w:numId w:val="14"/>
        </w:numPr>
        <w:spacing w:line="256" w:lineRule="auto"/>
        <w:jc w:val="both"/>
        <w:rPr>
          <w:lang w:val="fr-BE"/>
        </w:rPr>
      </w:pPr>
      <w:r w:rsidRPr="0069784D">
        <w:rPr>
          <w:lang w:val="fr-BE"/>
        </w:rPr>
        <w:t>Strafmaat</w:t>
      </w:r>
      <w:r w:rsidR="007735B9" w:rsidRPr="0069784D">
        <w:rPr>
          <w:lang w:val="fr-BE"/>
        </w:rPr>
        <w:t>:</w:t>
      </w:r>
    </w:p>
    <w:p w14:paraId="605892AC" w14:textId="77777777" w:rsidR="00AC0C8C" w:rsidRPr="0069784D" w:rsidRDefault="00AC0C8C" w:rsidP="009C15CF">
      <w:pPr>
        <w:pStyle w:val="ListParagraph"/>
        <w:spacing w:line="256" w:lineRule="auto"/>
        <w:jc w:val="both"/>
        <w:rPr>
          <w:lang w:val="fr-BE"/>
        </w:rPr>
      </w:pPr>
    </w:p>
    <w:p w14:paraId="40FFBA22" w14:textId="0884F8E2" w:rsidR="007735B9" w:rsidRPr="0069784D" w:rsidRDefault="00610E0B" w:rsidP="009C15CF">
      <w:pPr>
        <w:pStyle w:val="ListParagraph"/>
        <w:jc w:val="both"/>
        <w:rPr>
          <w:lang w:val="nl-BE"/>
        </w:rPr>
      </w:pPr>
      <w:r w:rsidRPr="0069784D">
        <w:rPr>
          <w:lang w:val="nl-BE"/>
        </w:rPr>
        <w:t xml:space="preserve">Wanneer de hoofdstraffen dezelfde aard en hetzelfde voorwerp hebben, is het de straf waarvan het maximum het hoogst is die de zwaarste straf is, zonder hierbij rekening te houden met het minimum ervan of de bijkomende straffen die ermee gepaard gaan. </w:t>
      </w:r>
    </w:p>
    <w:p w14:paraId="2D94888A" w14:textId="77777777" w:rsidR="007735B9" w:rsidRPr="0069784D" w:rsidRDefault="007735B9" w:rsidP="009C15CF">
      <w:pPr>
        <w:pStyle w:val="ListParagraph"/>
        <w:jc w:val="both"/>
        <w:rPr>
          <w:lang w:val="nl-BE"/>
        </w:rPr>
      </w:pPr>
    </w:p>
    <w:p w14:paraId="568B8201" w14:textId="31D7F6A6" w:rsidR="007735B9" w:rsidRPr="0069784D" w:rsidRDefault="00610E0B" w:rsidP="009C15CF">
      <w:pPr>
        <w:pStyle w:val="ListParagraph"/>
        <w:numPr>
          <w:ilvl w:val="0"/>
          <w:numId w:val="14"/>
        </w:numPr>
        <w:spacing w:line="256" w:lineRule="auto"/>
        <w:jc w:val="both"/>
        <w:rPr>
          <w:lang w:val="nl-BE"/>
        </w:rPr>
      </w:pPr>
      <w:r w:rsidRPr="0069784D">
        <w:rPr>
          <w:lang w:val="nl-BE"/>
        </w:rPr>
        <w:t xml:space="preserve">Wanneer de hoofdstraffen dezelfde aard hebben, hetzelfde voorwerp en hetzelfde maximum, dan wordt rekening gehouden met het al dan niet bestaan van een bijkomende straf, waarvan de zwaarte beoordeeld wordt in het licht van het voorwerp, het maximum en het al dan niet verplichte karakter ervan. </w:t>
      </w:r>
    </w:p>
    <w:p w14:paraId="708D3252" w14:textId="77777777" w:rsidR="00610E0B" w:rsidRPr="0069784D" w:rsidRDefault="00610E0B" w:rsidP="009C15CF">
      <w:pPr>
        <w:pStyle w:val="ListParagraph"/>
        <w:spacing w:line="256" w:lineRule="auto"/>
        <w:jc w:val="both"/>
        <w:rPr>
          <w:lang w:val="nl-BE"/>
        </w:rPr>
      </w:pPr>
    </w:p>
    <w:p w14:paraId="41074451" w14:textId="3697F49B" w:rsidR="007735B9" w:rsidRPr="0069784D" w:rsidRDefault="0099367B" w:rsidP="009C15CF">
      <w:pPr>
        <w:pStyle w:val="ListParagraph"/>
        <w:numPr>
          <w:ilvl w:val="0"/>
          <w:numId w:val="14"/>
        </w:numPr>
        <w:spacing w:line="256" w:lineRule="auto"/>
        <w:jc w:val="both"/>
        <w:rPr>
          <w:lang w:val="nl-BE"/>
        </w:rPr>
      </w:pPr>
      <w:r w:rsidRPr="0069784D">
        <w:rPr>
          <w:lang w:val="nl-BE"/>
        </w:rPr>
        <w:t xml:space="preserve">Wanneer de hoofd- en bijkomende straffen identiek zijn, is de zwaarste straf deze waarvan het minimum van de hoofdstraf het hoogst is. Indien ook dit identiek is, wordt rekening gehouden met het minimum van de bijkomende straf. </w:t>
      </w:r>
    </w:p>
    <w:p w14:paraId="4ED4BD1A" w14:textId="77777777" w:rsidR="007735B9" w:rsidRPr="0069784D" w:rsidRDefault="007735B9" w:rsidP="009C15CF">
      <w:pPr>
        <w:pStyle w:val="ListParagraph"/>
        <w:jc w:val="both"/>
        <w:rPr>
          <w:lang w:val="nl-BE"/>
        </w:rPr>
      </w:pPr>
    </w:p>
    <w:p w14:paraId="52677AF1" w14:textId="53D91CD7" w:rsidR="007735B9" w:rsidRPr="0069784D" w:rsidRDefault="0099367B" w:rsidP="009C15CF">
      <w:pPr>
        <w:pStyle w:val="ListParagraph"/>
        <w:numPr>
          <w:ilvl w:val="0"/>
          <w:numId w:val="14"/>
        </w:numPr>
        <w:spacing w:line="256" w:lineRule="auto"/>
        <w:jc w:val="both"/>
        <w:rPr>
          <w:lang w:val="nl-BE"/>
        </w:rPr>
      </w:pPr>
      <w:r w:rsidRPr="0069784D">
        <w:rPr>
          <w:lang w:val="nl-BE"/>
        </w:rPr>
        <w:t xml:space="preserve">Wanneer de hoofd- en bijkomende straffen identiek zijn, dienen het bestaan, het voorwerp en het maximum en vervolgens het minimum van de </w:t>
      </w:r>
      <w:r w:rsidR="007573B5" w:rsidRPr="0069784D">
        <w:rPr>
          <w:lang w:val="nl-BE"/>
        </w:rPr>
        <w:t>vervangende</w:t>
      </w:r>
      <w:r w:rsidRPr="0069784D">
        <w:rPr>
          <w:lang w:val="nl-BE"/>
        </w:rPr>
        <w:t xml:space="preserve"> straf nagegaan te worden</w:t>
      </w:r>
      <w:r w:rsidR="007735B9" w:rsidRPr="0069784D">
        <w:rPr>
          <w:lang w:val="nl-BE"/>
        </w:rPr>
        <w:t xml:space="preserve">. </w:t>
      </w:r>
    </w:p>
    <w:p w14:paraId="66E449FD" w14:textId="77777777" w:rsidR="007735B9" w:rsidRPr="0069784D" w:rsidRDefault="007735B9" w:rsidP="009C15CF">
      <w:pPr>
        <w:pStyle w:val="ListParagraph"/>
        <w:jc w:val="both"/>
        <w:rPr>
          <w:lang w:val="nl-BE"/>
        </w:rPr>
      </w:pPr>
    </w:p>
    <w:p w14:paraId="5EF751F7" w14:textId="34F7B14A" w:rsidR="007735B9" w:rsidRPr="0069784D" w:rsidRDefault="0099367B" w:rsidP="009C15CF">
      <w:pPr>
        <w:jc w:val="both"/>
        <w:rPr>
          <w:b/>
          <w:lang w:val="nl-BE"/>
        </w:rPr>
      </w:pPr>
      <w:r w:rsidRPr="0069784D">
        <w:rPr>
          <w:b/>
          <w:lang w:val="nl-BE"/>
        </w:rPr>
        <w:t>Hieronder volgen beknopt de criteria voor de beoordeling van de zwaarte van beide strafstelsels</w:t>
      </w:r>
      <w:r w:rsidR="007735B9" w:rsidRPr="0069784D">
        <w:rPr>
          <w:b/>
          <w:lang w:val="nl-BE"/>
        </w:rPr>
        <w:t xml:space="preserve">: </w:t>
      </w:r>
    </w:p>
    <w:p w14:paraId="51104F84" w14:textId="3EE48210" w:rsidR="007735B9" w:rsidRPr="0069784D" w:rsidRDefault="0099367B" w:rsidP="009C15CF">
      <w:pPr>
        <w:pStyle w:val="ListParagraph"/>
        <w:numPr>
          <w:ilvl w:val="0"/>
          <w:numId w:val="15"/>
        </w:numPr>
        <w:spacing w:line="256" w:lineRule="auto"/>
        <w:jc w:val="both"/>
        <w:rPr>
          <w:lang w:val="nl-BE"/>
        </w:rPr>
      </w:pPr>
      <w:r w:rsidRPr="0069784D">
        <w:rPr>
          <w:lang w:val="nl-BE"/>
        </w:rPr>
        <w:t>de aard van de hoofdstraf</w:t>
      </w:r>
      <w:r w:rsidR="007735B9" w:rsidRPr="0069784D">
        <w:rPr>
          <w:lang w:val="nl-BE"/>
        </w:rPr>
        <w:t>,</w:t>
      </w:r>
    </w:p>
    <w:p w14:paraId="79C74C2C" w14:textId="6271EFD1" w:rsidR="007735B9" w:rsidRPr="0069784D" w:rsidRDefault="0099367B" w:rsidP="009C15CF">
      <w:pPr>
        <w:pStyle w:val="ListParagraph"/>
        <w:numPr>
          <w:ilvl w:val="0"/>
          <w:numId w:val="15"/>
        </w:numPr>
        <w:spacing w:line="256" w:lineRule="auto"/>
        <w:jc w:val="both"/>
        <w:rPr>
          <w:lang w:val="nl-BE"/>
        </w:rPr>
      </w:pPr>
      <w:r w:rsidRPr="0069784D">
        <w:rPr>
          <w:lang w:val="nl-BE"/>
        </w:rPr>
        <w:t>het voorwerp van de hoofdstraf</w:t>
      </w:r>
      <w:r w:rsidR="007735B9" w:rsidRPr="0069784D">
        <w:rPr>
          <w:lang w:val="nl-BE"/>
        </w:rPr>
        <w:t>,</w:t>
      </w:r>
    </w:p>
    <w:p w14:paraId="6DC2304A" w14:textId="2CA6E0B8" w:rsidR="007735B9" w:rsidRPr="0069784D" w:rsidRDefault="0099367B" w:rsidP="009C15CF">
      <w:pPr>
        <w:pStyle w:val="ListParagraph"/>
        <w:numPr>
          <w:ilvl w:val="0"/>
          <w:numId w:val="15"/>
        </w:numPr>
        <w:spacing w:line="256" w:lineRule="auto"/>
        <w:jc w:val="both"/>
        <w:rPr>
          <w:lang w:val="nl-BE"/>
        </w:rPr>
      </w:pPr>
      <w:r w:rsidRPr="0069784D">
        <w:rPr>
          <w:lang w:val="nl-BE"/>
        </w:rPr>
        <w:t>het</w:t>
      </w:r>
      <w:r w:rsidR="007735B9" w:rsidRPr="0069784D">
        <w:rPr>
          <w:lang w:val="nl-BE"/>
        </w:rPr>
        <w:t xml:space="preserve"> maximum </w:t>
      </w:r>
      <w:r w:rsidRPr="0069784D">
        <w:rPr>
          <w:lang w:val="nl-BE"/>
        </w:rPr>
        <w:t>van de hoofdstraf</w:t>
      </w:r>
      <w:r w:rsidR="007735B9" w:rsidRPr="0069784D">
        <w:rPr>
          <w:lang w:val="nl-BE"/>
        </w:rPr>
        <w:t>,</w:t>
      </w:r>
    </w:p>
    <w:p w14:paraId="4DC36DE9" w14:textId="0BA5C841" w:rsidR="007735B9" w:rsidRPr="0069784D" w:rsidRDefault="00475F6A" w:rsidP="009C15CF">
      <w:pPr>
        <w:pStyle w:val="ListParagraph"/>
        <w:numPr>
          <w:ilvl w:val="0"/>
          <w:numId w:val="15"/>
        </w:numPr>
        <w:spacing w:line="256" w:lineRule="auto"/>
        <w:jc w:val="both"/>
        <w:rPr>
          <w:lang w:val="nl-BE"/>
        </w:rPr>
      </w:pPr>
      <w:r w:rsidRPr="0069784D">
        <w:rPr>
          <w:lang w:val="nl-BE"/>
        </w:rPr>
        <w:t>het al dan niet bestaan van een bijkomende straf</w:t>
      </w:r>
      <w:r w:rsidR="007735B9" w:rsidRPr="0069784D">
        <w:rPr>
          <w:lang w:val="nl-BE"/>
        </w:rPr>
        <w:t>,</w:t>
      </w:r>
    </w:p>
    <w:p w14:paraId="5D5C5431" w14:textId="2D73339A" w:rsidR="007735B9" w:rsidRPr="0069784D" w:rsidRDefault="00475F6A" w:rsidP="009C15CF">
      <w:pPr>
        <w:pStyle w:val="ListParagraph"/>
        <w:numPr>
          <w:ilvl w:val="0"/>
          <w:numId w:val="15"/>
        </w:numPr>
        <w:spacing w:line="256" w:lineRule="auto"/>
        <w:jc w:val="both"/>
        <w:rPr>
          <w:lang w:val="nl-BE"/>
        </w:rPr>
      </w:pPr>
      <w:r w:rsidRPr="0069784D">
        <w:rPr>
          <w:lang w:val="nl-BE"/>
        </w:rPr>
        <w:t>het voorwerp van de bijkomende straf</w:t>
      </w:r>
      <w:r w:rsidR="007735B9" w:rsidRPr="0069784D">
        <w:rPr>
          <w:lang w:val="nl-BE"/>
        </w:rPr>
        <w:t xml:space="preserve">, </w:t>
      </w:r>
    </w:p>
    <w:p w14:paraId="3A16BFC1" w14:textId="75779942" w:rsidR="007735B9" w:rsidRPr="0069784D" w:rsidRDefault="00475F6A" w:rsidP="009C15CF">
      <w:pPr>
        <w:pStyle w:val="ListParagraph"/>
        <w:numPr>
          <w:ilvl w:val="0"/>
          <w:numId w:val="15"/>
        </w:numPr>
        <w:spacing w:line="256" w:lineRule="auto"/>
        <w:jc w:val="both"/>
        <w:rPr>
          <w:lang w:val="nl-BE"/>
        </w:rPr>
      </w:pPr>
      <w:r w:rsidRPr="0069784D">
        <w:rPr>
          <w:lang w:val="nl-BE"/>
        </w:rPr>
        <w:t xml:space="preserve">het </w:t>
      </w:r>
      <w:r w:rsidR="007735B9" w:rsidRPr="0069784D">
        <w:rPr>
          <w:lang w:val="nl-BE"/>
        </w:rPr>
        <w:t xml:space="preserve">maximum </w:t>
      </w:r>
      <w:r w:rsidRPr="0069784D">
        <w:rPr>
          <w:lang w:val="nl-BE"/>
        </w:rPr>
        <w:t>van de bijkomende straf</w:t>
      </w:r>
      <w:r w:rsidR="007735B9" w:rsidRPr="0069784D">
        <w:rPr>
          <w:lang w:val="nl-BE"/>
        </w:rPr>
        <w:t>,</w:t>
      </w:r>
    </w:p>
    <w:p w14:paraId="15C734CB" w14:textId="767A7439" w:rsidR="007735B9" w:rsidRPr="0069784D" w:rsidRDefault="00475F6A" w:rsidP="009C15CF">
      <w:pPr>
        <w:pStyle w:val="ListParagraph"/>
        <w:numPr>
          <w:ilvl w:val="0"/>
          <w:numId w:val="15"/>
        </w:numPr>
        <w:spacing w:line="256" w:lineRule="auto"/>
        <w:jc w:val="both"/>
        <w:rPr>
          <w:lang w:val="nl-BE"/>
        </w:rPr>
      </w:pPr>
      <w:r w:rsidRPr="0069784D">
        <w:rPr>
          <w:lang w:val="nl-BE"/>
        </w:rPr>
        <w:t>het verplichte of facultatieve karakter van de bijkomende straf</w:t>
      </w:r>
      <w:r w:rsidR="007735B9" w:rsidRPr="0069784D">
        <w:rPr>
          <w:lang w:val="nl-BE"/>
        </w:rPr>
        <w:t>,</w:t>
      </w:r>
    </w:p>
    <w:p w14:paraId="164115E2" w14:textId="249036A2" w:rsidR="007735B9" w:rsidRPr="0069784D" w:rsidRDefault="00475F6A" w:rsidP="009C15CF">
      <w:pPr>
        <w:pStyle w:val="ListParagraph"/>
        <w:numPr>
          <w:ilvl w:val="0"/>
          <w:numId w:val="15"/>
        </w:numPr>
        <w:spacing w:line="256" w:lineRule="auto"/>
        <w:jc w:val="both"/>
        <w:rPr>
          <w:lang w:val="nl-BE"/>
        </w:rPr>
      </w:pPr>
      <w:r w:rsidRPr="0069784D">
        <w:rPr>
          <w:lang w:val="nl-BE"/>
        </w:rPr>
        <w:t>het</w:t>
      </w:r>
      <w:r w:rsidR="007735B9" w:rsidRPr="0069784D">
        <w:rPr>
          <w:lang w:val="nl-BE"/>
        </w:rPr>
        <w:t xml:space="preserve"> minimum </w:t>
      </w:r>
      <w:r w:rsidRPr="0069784D">
        <w:rPr>
          <w:lang w:val="nl-BE"/>
        </w:rPr>
        <w:t>van de hoofdstraf</w:t>
      </w:r>
      <w:r w:rsidR="007735B9" w:rsidRPr="0069784D">
        <w:rPr>
          <w:lang w:val="nl-BE"/>
        </w:rPr>
        <w:t>,</w:t>
      </w:r>
    </w:p>
    <w:p w14:paraId="59F1332D" w14:textId="662E629B" w:rsidR="007735B9" w:rsidRPr="0069784D" w:rsidRDefault="00475F6A" w:rsidP="009C15CF">
      <w:pPr>
        <w:pStyle w:val="ListParagraph"/>
        <w:numPr>
          <w:ilvl w:val="0"/>
          <w:numId w:val="15"/>
        </w:numPr>
        <w:spacing w:line="256" w:lineRule="auto"/>
        <w:jc w:val="both"/>
        <w:rPr>
          <w:lang w:val="nl-BE"/>
        </w:rPr>
      </w:pPr>
      <w:r w:rsidRPr="0069784D">
        <w:rPr>
          <w:lang w:val="nl-BE"/>
        </w:rPr>
        <w:t xml:space="preserve">het </w:t>
      </w:r>
      <w:r w:rsidR="007735B9" w:rsidRPr="0069784D">
        <w:rPr>
          <w:lang w:val="nl-BE"/>
        </w:rPr>
        <w:t xml:space="preserve">minimum </w:t>
      </w:r>
      <w:r w:rsidRPr="0069784D">
        <w:rPr>
          <w:lang w:val="nl-BE"/>
        </w:rPr>
        <w:t>van de bijkomende straf</w:t>
      </w:r>
      <w:r w:rsidR="007735B9" w:rsidRPr="0069784D">
        <w:rPr>
          <w:lang w:val="nl-BE"/>
        </w:rPr>
        <w:t>,</w:t>
      </w:r>
    </w:p>
    <w:p w14:paraId="15452868" w14:textId="3BEFC657" w:rsidR="007735B9" w:rsidRPr="0069784D" w:rsidRDefault="00475F6A" w:rsidP="009C15CF">
      <w:pPr>
        <w:pStyle w:val="ListParagraph"/>
        <w:numPr>
          <w:ilvl w:val="0"/>
          <w:numId w:val="15"/>
        </w:numPr>
        <w:spacing w:line="256" w:lineRule="auto"/>
        <w:jc w:val="both"/>
        <w:rPr>
          <w:lang w:val="nl-BE"/>
        </w:rPr>
      </w:pPr>
      <w:r w:rsidRPr="0069784D">
        <w:rPr>
          <w:lang w:val="nl-BE"/>
        </w:rPr>
        <w:t xml:space="preserve">het al dan niet bestaan van een </w:t>
      </w:r>
      <w:r w:rsidR="004D71B2" w:rsidRPr="0069784D">
        <w:rPr>
          <w:lang w:val="nl-BE"/>
        </w:rPr>
        <w:t>vervangende</w:t>
      </w:r>
      <w:r w:rsidRPr="0069784D">
        <w:rPr>
          <w:lang w:val="nl-BE"/>
        </w:rPr>
        <w:t xml:space="preserve"> straf</w:t>
      </w:r>
      <w:r w:rsidR="007735B9" w:rsidRPr="0069784D">
        <w:rPr>
          <w:lang w:val="nl-BE"/>
        </w:rPr>
        <w:t>,</w:t>
      </w:r>
    </w:p>
    <w:p w14:paraId="192BD634" w14:textId="7A246C31" w:rsidR="007735B9" w:rsidRPr="0069784D" w:rsidRDefault="00475F6A" w:rsidP="009C15CF">
      <w:pPr>
        <w:pStyle w:val="ListParagraph"/>
        <w:numPr>
          <w:ilvl w:val="0"/>
          <w:numId w:val="15"/>
        </w:numPr>
        <w:spacing w:line="256" w:lineRule="auto"/>
        <w:jc w:val="both"/>
        <w:rPr>
          <w:lang w:val="nl-BE"/>
        </w:rPr>
      </w:pPr>
      <w:r w:rsidRPr="0069784D">
        <w:rPr>
          <w:lang w:val="nl-BE"/>
        </w:rPr>
        <w:lastRenderedPageBreak/>
        <w:t>het voorwerp</w:t>
      </w:r>
      <w:r w:rsidR="007735B9" w:rsidRPr="0069784D">
        <w:rPr>
          <w:lang w:val="nl-BE"/>
        </w:rPr>
        <w:t xml:space="preserve"> </w:t>
      </w:r>
      <w:r w:rsidRPr="0069784D">
        <w:rPr>
          <w:lang w:val="nl-BE"/>
        </w:rPr>
        <w:t xml:space="preserve">van de </w:t>
      </w:r>
      <w:r w:rsidR="004D71B2" w:rsidRPr="0069784D">
        <w:rPr>
          <w:lang w:val="nl-BE"/>
        </w:rPr>
        <w:t>vervangende</w:t>
      </w:r>
      <w:r w:rsidRPr="0069784D">
        <w:rPr>
          <w:lang w:val="nl-BE"/>
        </w:rPr>
        <w:t xml:space="preserve"> straf</w:t>
      </w:r>
      <w:r w:rsidR="007735B9" w:rsidRPr="0069784D">
        <w:rPr>
          <w:lang w:val="nl-BE"/>
        </w:rPr>
        <w:t>,</w:t>
      </w:r>
    </w:p>
    <w:p w14:paraId="41C55A1D" w14:textId="567C492C" w:rsidR="007735B9" w:rsidRPr="0069784D" w:rsidRDefault="00475F6A" w:rsidP="009C15CF">
      <w:pPr>
        <w:pStyle w:val="ListParagraph"/>
        <w:numPr>
          <w:ilvl w:val="0"/>
          <w:numId w:val="15"/>
        </w:numPr>
        <w:spacing w:line="256" w:lineRule="auto"/>
        <w:jc w:val="both"/>
        <w:rPr>
          <w:lang w:val="nl-BE"/>
        </w:rPr>
      </w:pPr>
      <w:r w:rsidRPr="0069784D">
        <w:rPr>
          <w:lang w:val="nl-BE"/>
        </w:rPr>
        <w:t>het</w:t>
      </w:r>
      <w:r w:rsidR="007735B9" w:rsidRPr="0069784D">
        <w:rPr>
          <w:lang w:val="nl-BE"/>
        </w:rPr>
        <w:t xml:space="preserve"> maximum </w:t>
      </w:r>
      <w:r w:rsidRPr="0069784D">
        <w:rPr>
          <w:lang w:val="nl-BE"/>
        </w:rPr>
        <w:t xml:space="preserve">van de </w:t>
      </w:r>
      <w:r w:rsidR="004D71B2" w:rsidRPr="0069784D">
        <w:rPr>
          <w:lang w:val="nl-BE"/>
        </w:rPr>
        <w:t>vervangende</w:t>
      </w:r>
      <w:r w:rsidRPr="0069784D">
        <w:rPr>
          <w:lang w:val="nl-BE"/>
        </w:rPr>
        <w:t xml:space="preserve"> straf</w:t>
      </w:r>
      <w:r w:rsidR="007735B9" w:rsidRPr="0069784D">
        <w:rPr>
          <w:lang w:val="nl-BE"/>
        </w:rPr>
        <w:t>,</w:t>
      </w:r>
    </w:p>
    <w:p w14:paraId="4B1EE07A" w14:textId="77B5C934" w:rsidR="007735B9" w:rsidRPr="0069784D" w:rsidRDefault="00475F6A" w:rsidP="009C15CF">
      <w:pPr>
        <w:pStyle w:val="ListParagraph"/>
        <w:numPr>
          <w:ilvl w:val="0"/>
          <w:numId w:val="15"/>
        </w:numPr>
        <w:spacing w:line="256" w:lineRule="auto"/>
        <w:jc w:val="both"/>
        <w:rPr>
          <w:lang w:val="nl-BE"/>
        </w:rPr>
      </w:pPr>
      <w:r w:rsidRPr="0069784D">
        <w:rPr>
          <w:lang w:val="nl-BE"/>
        </w:rPr>
        <w:t>het</w:t>
      </w:r>
      <w:r w:rsidR="007735B9" w:rsidRPr="0069784D">
        <w:rPr>
          <w:lang w:val="nl-BE"/>
        </w:rPr>
        <w:t xml:space="preserve"> minimum </w:t>
      </w:r>
      <w:r w:rsidRPr="0069784D">
        <w:rPr>
          <w:lang w:val="nl-BE"/>
        </w:rPr>
        <w:t xml:space="preserve">van de </w:t>
      </w:r>
      <w:r w:rsidR="004D71B2" w:rsidRPr="0069784D">
        <w:rPr>
          <w:lang w:val="nl-BE"/>
        </w:rPr>
        <w:t>vervangende</w:t>
      </w:r>
      <w:r w:rsidRPr="0069784D">
        <w:rPr>
          <w:lang w:val="nl-BE"/>
        </w:rPr>
        <w:t xml:space="preserve"> straf</w:t>
      </w:r>
      <w:r w:rsidR="007735B9" w:rsidRPr="0069784D">
        <w:rPr>
          <w:lang w:val="nl-BE"/>
        </w:rPr>
        <w:t>.</w:t>
      </w:r>
    </w:p>
    <w:p w14:paraId="7A968F45" w14:textId="77777777" w:rsidR="007735B9" w:rsidRPr="0069784D" w:rsidRDefault="007735B9" w:rsidP="009C15CF">
      <w:pPr>
        <w:jc w:val="both"/>
        <w:rPr>
          <w:lang w:val="nl-BE"/>
        </w:rPr>
      </w:pPr>
    </w:p>
    <w:p w14:paraId="7D0339EE" w14:textId="534A26AA" w:rsidR="007735B9" w:rsidRPr="0069784D" w:rsidRDefault="00B045C3" w:rsidP="009C15CF">
      <w:pPr>
        <w:jc w:val="both"/>
        <w:rPr>
          <w:lang w:val="nl-BE"/>
        </w:rPr>
      </w:pPr>
      <w:r w:rsidRPr="0069784D">
        <w:rPr>
          <w:lang w:val="nl-BE"/>
        </w:rPr>
        <w:t xml:space="preserve">Zodra het strafstelsel bepaald </w:t>
      </w:r>
      <w:r w:rsidR="007573B5" w:rsidRPr="0069784D">
        <w:rPr>
          <w:lang w:val="nl-BE"/>
        </w:rPr>
        <w:t>is</w:t>
      </w:r>
      <w:r w:rsidRPr="0069784D">
        <w:rPr>
          <w:lang w:val="nl-BE"/>
        </w:rPr>
        <w:t xml:space="preserve">, dient dit in principe in zijn geheel toegepast te worden. Er kan bijgevolg geen sprake van overlappingen zijn door </w:t>
      </w:r>
      <w:r w:rsidR="00BE0B89" w:rsidRPr="0069784D">
        <w:rPr>
          <w:lang w:val="nl-BE"/>
        </w:rPr>
        <w:t xml:space="preserve">bijvoorbeeld de minst zware vrijheidsstraf uit één strafstelsel te combineren met de minst zware bijkomende straf van een ander strafstelsel. </w:t>
      </w:r>
    </w:p>
    <w:p w14:paraId="7FD26701" w14:textId="5F95951F" w:rsidR="00AC0C8C" w:rsidRPr="0069784D" w:rsidRDefault="00BE0B89" w:rsidP="009C15CF">
      <w:pPr>
        <w:jc w:val="both"/>
        <w:rPr>
          <w:b/>
          <w:lang w:val="nl-BE"/>
        </w:rPr>
      </w:pPr>
      <w:r w:rsidRPr="0069784D">
        <w:rPr>
          <w:b/>
          <w:lang w:val="nl-BE"/>
        </w:rPr>
        <w:t xml:space="preserve">Aan de hand van </w:t>
      </w:r>
      <w:r w:rsidR="004D71B2" w:rsidRPr="0069784D">
        <w:rPr>
          <w:b/>
          <w:lang w:val="nl-BE"/>
        </w:rPr>
        <w:t xml:space="preserve">artikel </w:t>
      </w:r>
      <w:r w:rsidR="00AC0C8C" w:rsidRPr="0069784D">
        <w:rPr>
          <w:b/>
          <w:lang w:val="nl-BE"/>
        </w:rPr>
        <w:t>417/61</w:t>
      </w:r>
      <w:r w:rsidRPr="0069784D">
        <w:rPr>
          <w:b/>
          <w:lang w:val="nl-BE"/>
        </w:rPr>
        <w:t xml:space="preserve"> streeft de wetgever er niettemin naar om de rechter voortaan in de mogelijkheid te stellen om de sluiting van een inrichting en de verbod</w:t>
      </w:r>
      <w:r w:rsidR="00BB37D7" w:rsidRPr="0069784D">
        <w:rPr>
          <w:b/>
          <w:lang w:val="nl-BE"/>
        </w:rPr>
        <w:t>en</w:t>
      </w:r>
      <w:r w:rsidRPr="0069784D">
        <w:rPr>
          <w:b/>
          <w:lang w:val="nl-BE"/>
        </w:rPr>
        <w:t xml:space="preserve"> en vervallenverklaringen toe te passen in geval van samenloop met andere zwaarder bestrafte misdrijven, </w:t>
      </w:r>
      <w:r w:rsidRPr="0069784D">
        <w:rPr>
          <w:bCs/>
          <w:i/>
          <w:iCs/>
          <w:lang w:val="nl-BE"/>
        </w:rPr>
        <w:t>maar zonder evenwel in deze bijkomende straffen te voorzien</w:t>
      </w:r>
      <w:r w:rsidRPr="0069784D">
        <w:rPr>
          <w:b/>
          <w:lang w:val="nl-BE"/>
        </w:rPr>
        <w:t xml:space="preserve"> </w:t>
      </w:r>
      <w:r w:rsidR="00AC0C8C" w:rsidRPr="0069784D">
        <w:rPr>
          <w:b/>
          <w:lang w:val="nl-BE"/>
        </w:rPr>
        <w:t>(</w:t>
      </w:r>
      <w:r w:rsidR="00B045C3" w:rsidRPr="0069784D">
        <w:rPr>
          <w:b/>
          <w:lang w:val="nl-BE"/>
        </w:rPr>
        <w:t>zie de bespreking van artikel</w:t>
      </w:r>
      <w:r w:rsidR="00AC0C8C" w:rsidRPr="0069784D">
        <w:rPr>
          <w:b/>
          <w:lang w:val="nl-BE"/>
        </w:rPr>
        <w:t xml:space="preserve"> 417/61)</w:t>
      </w:r>
      <w:r w:rsidRPr="0069784D">
        <w:rPr>
          <w:b/>
          <w:lang w:val="nl-BE"/>
        </w:rPr>
        <w:t>.</w:t>
      </w:r>
    </w:p>
    <w:p w14:paraId="45C681D5" w14:textId="77777777" w:rsidR="007735B9" w:rsidRPr="0069784D" w:rsidRDefault="007735B9" w:rsidP="009C15CF">
      <w:pPr>
        <w:jc w:val="both"/>
        <w:rPr>
          <w:lang w:val="nl-BE"/>
        </w:rPr>
      </w:pPr>
    </w:p>
    <w:p w14:paraId="6B6F9494" w14:textId="2B3EFF34" w:rsidR="007735B9" w:rsidRPr="0069784D" w:rsidRDefault="00861D94" w:rsidP="009C15CF">
      <w:pPr>
        <w:jc w:val="both"/>
        <w:rPr>
          <w:b/>
          <w:lang w:val="nl-BE"/>
        </w:rPr>
      </w:pPr>
      <w:r w:rsidRPr="0069784D">
        <w:rPr>
          <w:b/>
          <w:u w:val="single"/>
          <w:lang w:val="nl-BE"/>
        </w:rPr>
        <w:t>Abstracte beoordeling van de zwaarste straf</w:t>
      </w:r>
      <w:r w:rsidR="007735B9" w:rsidRPr="0069784D">
        <w:rPr>
          <w:b/>
          <w:u w:val="single"/>
          <w:lang w:val="nl-BE"/>
        </w:rPr>
        <w:t xml:space="preserve"> – Relativ</w:t>
      </w:r>
      <w:r w:rsidRPr="0069784D">
        <w:rPr>
          <w:b/>
          <w:u w:val="single"/>
          <w:lang w:val="nl-BE"/>
        </w:rPr>
        <w:t>ering</w:t>
      </w:r>
    </w:p>
    <w:p w14:paraId="32A3E78E" w14:textId="3DAB4710" w:rsidR="007735B9" w:rsidRPr="0069784D" w:rsidRDefault="00BE0B89" w:rsidP="009C15CF">
      <w:pPr>
        <w:jc w:val="both"/>
        <w:rPr>
          <w:lang w:val="nl-BE"/>
        </w:rPr>
      </w:pPr>
      <w:r w:rsidRPr="0069784D">
        <w:rPr>
          <w:lang w:val="nl-BE"/>
        </w:rPr>
        <w:t xml:space="preserve">Het bepalen van de zwaarste straf gebeurt in beginsel op een abstracte manier, met andere woorden zonder rekening te houden met de intentie van de wetgever noch met de inschatting die een beklaagde zelf kan maken van de ernst van een straf die hem desgevallend zou kunnen worden opgelegd. </w:t>
      </w:r>
    </w:p>
    <w:p w14:paraId="54F6FABE" w14:textId="5EBA2EB5" w:rsidR="007735B9" w:rsidRPr="0069784D" w:rsidRDefault="00BA5ACE" w:rsidP="009C15CF">
      <w:pPr>
        <w:jc w:val="both"/>
        <w:rPr>
          <w:lang w:val="nl-BE"/>
        </w:rPr>
      </w:pPr>
      <w:r w:rsidRPr="0069784D">
        <w:rPr>
          <w:lang w:val="nl-BE"/>
        </w:rPr>
        <w:t xml:space="preserve">In 2005 stelde het </w:t>
      </w:r>
      <w:r w:rsidR="00BB37D7" w:rsidRPr="0069784D">
        <w:rPr>
          <w:lang w:val="nl-BE"/>
        </w:rPr>
        <w:t>Arbitragehof</w:t>
      </w:r>
      <w:r w:rsidR="00F91817" w:rsidRPr="0069784D">
        <w:rPr>
          <w:lang w:val="nl-BE"/>
        </w:rPr>
        <w:t xml:space="preserve"> bijvoorbeeld</w:t>
      </w:r>
      <w:r w:rsidR="007573B5" w:rsidRPr="0069784D">
        <w:rPr>
          <w:lang w:val="nl-BE"/>
        </w:rPr>
        <w:t xml:space="preserve"> </w:t>
      </w:r>
      <w:r w:rsidRPr="0069784D">
        <w:rPr>
          <w:lang w:val="nl-BE"/>
        </w:rPr>
        <w:t xml:space="preserve">dat de artikelen </w:t>
      </w:r>
      <w:r w:rsidR="007735B9" w:rsidRPr="0069784D">
        <w:rPr>
          <w:lang w:val="nl-BE"/>
        </w:rPr>
        <w:t>29, §1, 35 e</w:t>
      </w:r>
      <w:r w:rsidRPr="0069784D">
        <w:rPr>
          <w:lang w:val="nl-BE"/>
        </w:rPr>
        <w:t>n</w:t>
      </w:r>
      <w:r w:rsidR="007735B9" w:rsidRPr="0069784D">
        <w:rPr>
          <w:lang w:val="nl-BE"/>
        </w:rPr>
        <w:t xml:space="preserve"> 38, §4, </w:t>
      </w:r>
      <w:r w:rsidRPr="0069784D">
        <w:rPr>
          <w:lang w:val="nl-BE"/>
        </w:rPr>
        <w:t>lid</w:t>
      </w:r>
      <w:r w:rsidR="007735B9" w:rsidRPr="0069784D">
        <w:rPr>
          <w:lang w:val="nl-BE"/>
        </w:rPr>
        <w:t xml:space="preserve"> 4 </w:t>
      </w:r>
      <w:r w:rsidRPr="0069784D">
        <w:rPr>
          <w:lang w:val="nl-BE"/>
        </w:rPr>
        <w:t>van de wetten betreffende de politie over het wegverkeer, gecoördineerd bij het koninklijk besluit van 16 maart 1968, zoals gewijzigd bij de wet van 7 februari 2003, in zoverre zij van toepassing zijn op vóór 1 maart 2004 gepleegde misdrijven, de artikelen 10 en 11 van de Grondwet schenden. De nieuwe wet verving de hoofdgevangenisstraffen</w:t>
      </w:r>
      <w:r w:rsidR="00BB37D7" w:rsidRPr="0069784D">
        <w:rPr>
          <w:lang w:val="nl-BE"/>
        </w:rPr>
        <w:t xml:space="preserve"> </w:t>
      </w:r>
      <w:r w:rsidRPr="0069784D">
        <w:rPr>
          <w:lang w:val="nl-BE"/>
        </w:rPr>
        <w:t xml:space="preserve">door hogere geldboetes en de facultatieve vervallenverklaringen uit het recht tot het besturen van een voertuig door verplichte, terwijl het herstel in dit recht afhankelijk van het slagen voor examens gemaakt werd. De nieuwe wet werd dus als strenger dan de vroegere wet beschouwd, aangezien de wetgever hierbij de intentie had een strenger strafstelsel in te voeren vanuit de vaststelling dat er geen gevangenisstraffen uitgesproken of dat zij niet uitgevoerd werden. Het Hof stelde verder dat de retroactieve toepassing van de nieuwe wet op de inbreuken gepleegd vóór de inwerkingtreding ervan discriminerend is. </w:t>
      </w:r>
      <w:r w:rsidR="007735B9" w:rsidRPr="0069784D">
        <w:rPr>
          <w:lang w:val="nl-BE"/>
        </w:rPr>
        <w:t>(</w:t>
      </w:r>
      <w:r w:rsidR="00BB37D7" w:rsidRPr="0069784D">
        <w:rPr>
          <w:lang w:val="nl-BE"/>
        </w:rPr>
        <w:t>Arbitragehof</w:t>
      </w:r>
      <w:r w:rsidR="007735B9" w:rsidRPr="0069784D">
        <w:rPr>
          <w:lang w:val="nl-BE"/>
        </w:rPr>
        <w:t xml:space="preserve"> 2005, </w:t>
      </w:r>
      <w:r w:rsidR="00BE0B89" w:rsidRPr="0069784D">
        <w:rPr>
          <w:lang w:val="nl-BE"/>
        </w:rPr>
        <w:t>plenaire zitting</w:t>
      </w:r>
      <w:r w:rsidR="007735B9" w:rsidRPr="0069784D">
        <w:rPr>
          <w:lang w:val="nl-BE"/>
        </w:rPr>
        <w:t>, n</w:t>
      </w:r>
      <w:r w:rsidR="00BE0B89" w:rsidRPr="0069784D">
        <w:rPr>
          <w:lang w:val="nl-BE"/>
        </w:rPr>
        <w:t>r</w:t>
      </w:r>
      <w:r w:rsidR="00BB37D7" w:rsidRPr="0069784D">
        <w:rPr>
          <w:lang w:val="nl-BE"/>
        </w:rPr>
        <w:t>.</w:t>
      </w:r>
      <w:r w:rsidR="007735B9" w:rsidRPr="0069784D">
        <w:rPr>
          <w:lang w:val="nl-BE"/>
        </w:rPr>
        <w:t xml:space="preserve"> 45/2005 e</w:t>
      </w:r>
      <w:r w:rsidR="00BE0B89" w:rsidRPr="0069784D">
        <w:rPr>
          <w:lang w:val="nl-BE"/>
        </w:rPr>
        <w:t>n Grondwettelijk Hof, 17 maart</w:t>
      </w:r>
      <w:r w:rsidR="007735B9" w:rsidRPr="0069784D">
        <w:rPr>
          <w:lang w:val="nl-BE"/>
        </w:rPr>
        <w:t xml:space="preserve"> 2010, </w:t>
      </w:r>
      <w:r w:rsidR="00BE0B89" w:rsidRPr="0069784D">
        <w:rPr>
          <w:lang w:val="nl-BE"/>
        </w:rPr>
        <w:t>plenaire zitting</w:t>
      </w:r>
      <w:r w:rsidR="007735B9" w:rsidRPr="0069784D">
        <w:rPr>
          <w:lang w:val="nl-BE"/>
        </w:rPr>
        <w:t>, n</w:t>
      </w:r>
      <w:r w:rsidR="00BE0B89" w:rsidRPr="0069784D">
        <w:rPr>
          <w:lang w:val="nl-BE"/>
        </w:rPr>
        <w:t>r.</w:t>
      </w:r>
      <w:r w:rsidR="007735B9" w:rsidRPr="0069784D">
        <w:rPr>
          <w:lang w:val="nl-BE"/>
        </w:rPr>
        <w:t xml:space="preserve"> 27/2010).</w:t>
      </w:r>
    </w:p>
    <w:p w14:paraId="21FE21CB" w14:textId="0B54B54A" w:rsidR="007735B9" w:rsidRPr="0069784D" w:rsidRDefault="00BE0B89" w:rsidP="009C15CF">
      <w:pPr>
        <w:jc w:val="both"/>
        <w:rPr>
          <w:lang w:val="nl-BE"/>
        </w:rPr>
      </w:pPr>
      <w:r w:rsidRPr="0069784D">
        <w:rPr>
          <w:lang w:val="nl-BE"/>
        </w:rPr>
        <w:t xml:space="preserve">Het Hof van Cassatie trad deze rechtspraak bij </w:t>
      </w:r>
      <w:r w:rsidR="007735B9" w:rsidRPr="0069784D">
        <w:rPr>
          <w:lang w:val="nl-BE"/>
        </w:rPr>
        <w:t>(Cass. 6 a</w:t>
      </w:r>
      <w:r w:rsidRPr="0069784D">
        <w:rPr>
          <w:lang w:val="nl-BE"/>
        </w:rPr>
        <w:t>p</w:t>
      </w:r>
      <w:r w:rsidR="007735B9" w:rsidRPr="0069784D">
        <w:rPr>
          <w:lang w:val="nl-BE"/>
        </w:rPr>
        <w:t>ril 2005, Pas., 2005, p. 779 e</w:t>
      </w:r>
      <w:r w:rsidRPr="0069784D">
        <w:rPr>
          <w:lang w:val="nl-BE"/>
        </w:rPr>
        <w:t>n</w:t>
      </w:r>
      <w:r w:rsidR="007735B9" w:rsidRPr="0069784D">
        <w:rPr>
          <w:lang w:val="nl-BE"/>
        </w:rPr>
        <w:t xml:space="preserve"> 781; Cass., 8 m</w:t>
      </w:r>
      <w:r w:rsidRPr="0069784D">
        <w:rPr>
          <w:lang w:val="nl-BE"/>
        </w:rPr>
        <w:t>aart</w:t>
      </w:r>
      <w:r w:rsidR="007735B9" w:rsidRPr="0069784D">
        <w:rPr>
          <w:lang w:val="nl-BE"/>
        </w:rPr>
        <w:t xml:space="preserve"> 2005, Pas., 2005, p. 552 ).</w:t>
      </w:r>
    </w:p>
    <w:p w14:paraId="2D632943" w14:textId="289F9CBA" w:rsidR="007735B9" w:rsidRPr="0069784D" w:rsidRDefault="00BF70AD" w:rsidP="009C15CF">
      <w:pPr>
        <w:jc w:val="both"/>
        <w:rPr>
          <w:lang w:val="nl-BE"/>
        </w:rPr>
      </w:pPr>
      <w:r w:rsidRPr="0069784D">
        <w:rPr>
          <w:lang w:val="nl-BE"/>
        </w:rPr>
        <w:t xml:space="preserve">In 2007 stelde het </w:t>
      </w:r>
      <w:r w:rsidR="00D7399A" w:rsidRPr="0069784D">
        <w:rPr>
          <w:lang w:val="nl-BE"/>
        </w:rPr>
        <w:t>Grondwettelijk Hof</w:t>
      </w:r>
      <w:r w:rsidRPr="0069784D">
        <w:rPr>
          <w:lang w:val="nl-BE"/>
        </w:rPr>
        <w:t xml:space="preserve">, in het licht van de inschatting die </w:t>
      </w:r>
      <w:r w:rsidR="00F91817" w:rsidRPr="0069784D">
        <w:rPr>
          <w:lang w:val="nl-BE"/>
        </w:rPr>
        <w:t>een</w:t>
      </w:r>
      <w:r w:rsidRPr="0069784D">
        <w:rPr>
          <w:lang w:val="nl-BE"/>
        </w:rPr>
        <w:t xml:space="preserve"> beklaagde zelf kan maken van de ernst van twee mogelijke straffen die hem opgelegd konden worden</w:t>
      </w:r>
      <w:r w:rsidR="007735B9" w:rsidRPr="0069784D">
        <w:rPr>
          <w:lang w:val="nl-BE"/>
        </w:rPr>
        <w:t xml:space="preserve">, </w:t>
      </w:r>
      <w:r w:rsidR="00025DA7" w:rsidRPr="0069784D">
        <w:rPr>
          <w:lang w:val="nl-BE"/>
        </w:rPr>
        <w:t>dat</w:t>
      </w:r>
      <w:r w:rsidR="007573B5" w:rsidRPr="0069784D">
        <w:rPr>
          <w:lang w:val="nl-BE"/>
        </w:rPr>
        <w:t>, in zoverre</w:t>
      </w:r>
      <w:r w:rsidR="00025DA7" w:rsidRPr="0069784D">
        <w:rPr>
          <w:lang w:val="nl-BE"/>
        </w:rPr>
        <w:t xml:space="preserve"> de wet van</w:t>
      </w:r>
      <w:r w:rsidRPr="0069784D">
        <w:rPr>
          <w:lang w:val="nl-BE"/>
        </w:rPr>
        <w:t xml:space="preserve"> 17 april 2002 tot invoering van de werkstraf als autonome straf in correctionele zaken en in </w:t>
      </w:r>
      <w:r w:rsidR="00025DA7" w:rsidRPr="0069784D">
        <w:rPr>
          <w:lang w:val="nl-BE"/>
        </w:rPr>
        <w:t>politiezaken</w:t>
      </w:r>
      <w:r w:rsidR="007573B5" w:rsidRPr="0069784D">
        <w:rPr>
          <w:lang w:val="nl-BE"/>
        </w:rPr>
        <w:t>,</w:t>
      </w:r>
      <w:r w:rsidR="00025DA7" w:rsidRPr="0069784D">
        <w:rPr>
          <w:lang w:val="nl-BE"/>
        </w:rPr>
        <w:t xml:space="preserve"> een beklaagde die bij verstek tot een geldboete is veroordeeld, niet </w:t>
      </w:r>
      <w:r w:rsidR="00F91817" w:rsidRPr="0069784D">
        <w:rPr>
          <w:lang w:val="nl-BE"/>
        </w:rPr>
        <w:t>toestaa</w:t>
      </w:r>
      <w:r w:rsidR="007573B5" w:rsidRPr="0069784D">
        <w:rPr>
          <w:lang w:val="nl-BE"/>
        </w:rPr>
        <w:t>t</w:t>
      </w:r>
      <w:r w:rsidR="00025DA7" w:rsidRPr="0069784D">
        <w:rPr>
          <w:lang w:val="nl-BE"/>
        </w:rPr>
        <w:t xml:space="preserve"> om op </w:t>
      </w:r>
      <w:r w:rsidR="00F91817" w:rsidRPr="0069784D">
        <w:rPr>
          <w:lang w:val="nl-BE"/>
        </w:rPr>
        <w:t>verzet</w:t>
      </w:r>
      <w:r w:rsidR="00025DA7" w:rsidRPr="0069784D">
        <w:rPr>
          <w:lang w:val="nl-BE"/>
        </w:rPr>
        <w:t xml:space="preserve"> een werkstraf opgelegd te krijgen, onevenredige gevolgen heeft rekening houdend met de doelstelling om deze straf op te vatten als een constructief en economisch alternatief voor de korte gevangenisstraffen, zonder </w:t>
      </w:r>
      <w:r w:rsidR="007573B5" w:rsidRPr="0069784D">
        <w:rPr>
          <w:lang w:val="nl-BE"/>
        </w:rPr>
        <w:t xml:space="preserve">dat er sprake is van </w:t>
      </w:r>
      <w:r w:rsidR="00025DA7" w:rsidRPr="0069784D">
        <w:rPr>
          <w:lang w:val="nl-BE"/>
        </w:rPr>
        <w:t xml:space="preserve">de economische gevolgen die geldstraffen kunnen hebben </w:t>
      </w:r>
      <w:r w:rsidR="007735B9" w:rsidRPr="0069784D">
        <w:rPr>
          <w:lang w:val="nl-BE"/>
        </w:rPr>
        <w:t>(</w:t>
      </w:r>
      <w:r w:rsidR="00D7399A" w:rsidRPr="0069784D">
        <w:rPr>
          <w:lang w:val="nl-BE"/>
        </w:rPr>
        <w:t>Grondwettelijk Hof</w:t>
      </w:r>
      <w:r w:rsidRPr="0069784D">
        <w:rPr>
          <w:lang w:val="nl-BE"/>
        </w:rPr>
        <w:t>,</w:t>
      </w:r>
      <w:r w:rsidR="007735B9" w:rsidRPr="0069784D">
        <w:rPr>
          <w:lang w:val="nl-BE"/>
        </w:rPr>
        <w:t xml:space="preserve"> 11 jan</w:t>
      </w:r>
      <w:r w:rsidRPr="0069784D">
        <w:rPr>
          <w:lang w:val="nl-BE"/>
        </w:rPr>
        <w:t>uari</w:t>
      </w:r>
      <w:r w:rsidR="007735B9" w:rsidRPr="0069784D">
        <w:rPr>
          <w:lang w:val="nl-BE"/>
        </w:rPr>
        <w:t xml:space="preserve"> 2007, </w:t>
      </w:r>
      <w:r w:rsidRPr="0069784D">
        <w:rPr>
          <w:lang w:val="nl-BE"/>
        </w:rPr>
        <w:t>plenaire zitting</w:t>
      </w:r>
      <w:r w:rsidR="007735B9" w:rsidRPr="0069784D">
        <w:rPr>
          <w:lang w:val="nl-BE"/>
        </w:rPr>
        <w:t>, n</w:t>
      </w:r>
      <w:r w:rsidRPr="0069784D">
        <w:rPr>
          <w:lang w:val="nl-BE"/>
        </w:rPr>
        <w:t xml:space="preserve">r. </w:t>
      </w:r>
      <w:r w:rsidR="007735B9" w:rsidRPr="0069784D">
        <w:rPr>
          <w:lang w:val="nl-BE"/>
        </w:rPr>
        <w:t>4/2007).</w:t>
      </w:r>
    </w:p>
    <w:p w14:paraId="5032B1E0" w14:textId="1B5710B9" w:rsidR="007735B9" w:rsidRPr="0069784D" w:rsidRDefault="00025DA7" w:rsidP="009C15CF">
      <w:pPr>
        <w:jc w:val="both"/>
        <w:rPr>
          <w:lang w:val="nl-BE"/>
        </w:rPr>
      </w:pPr>
      <w:r w:rsidRPr="0069784D">
        <w:rPr>
          <w:lang w:val="nl-BE"/>
        </w:rPr>
        <w:lastRenderedPageBreak/>
        <w:t xml:space="preserve">Het Hof van Cassatie volgde deze redenering </w:t>
      </w:r>
      <w:r w:rsidR="00D7399A" w:rsidRPr="0069784D">
        <w:rPr>
          <w:lang w:val="nl-BE"/>
        </w:rPr>
        <w:t>door te stellen dat de vervanging van een straf door een andere straf van dezelfde aard de perken van de rechte</w:t>
      </w:r>
      <w:r w:rsidR="00C526B7" w:rsidRPr="0069784D">
        <w:rPr>
          <w:lang w:val="nl-BE"/>
        </w:rPr>
        <w:t>n</w:t>
      </w:r>
      <w:r w:rsidR="00D7399A" w:rsidRPr="0069784D">
        <w:rPr>
          <w:lang w:val="nl-BE"/>
        </w:rPr>
        <w:t xml:space="preserve"> van de beklaagde niet overschrijdt en dus niet als zwaarder beschouwd mag worden </w:t>
      </w:r>
      <w:r w:rsidR="007735B9" w:rsidRPr="0069784D">
        <w:rPr>
          <w:lang w:val="nl-BE"/>
        </w:rPr>
        <w:t>(Cass., 20 ju</w:t>
      </w:r>
      <w:r w:rsidR="00BF70AD" w:rsidRPr="0069784D">
        <w:rPr>
          <w:lang w:val="nl-BE"/>
        </w:rPr>
        <w:t xml:space="preserve">ni </w:t>
      </w:r>
      <w:r w:rsidR="007735B9" w:rsidRPr="0069784D">
        <w:rPr>
          <w:lang w:val="nl-BE"/>
        </w:rPr>
        <w:t>2007, Pas., 2007, p.</w:t>
      </w:r>
      <w:r w:rsidR="00BF70AD" w:rsidRPr="0069784D">
        <w:rPr>
          <w:lang w:val="nl-BE"/>
        </w:rPr>
        <w:t xml:space="preserve"> </w:t>
      </w:r>
      <w:r w:rsidR="007735B9" w:rsidRPr="0069784D">
        <w:rPr>
          <w:lang w:val="nl-BE"/>
        </w:rPr>
        <w:t>1275).</w:t>
      </w:r>
    </w:p>
    <w:p w14:paraId="43DEC39A" w14:textId="762955C8" w:rsidR="007735B9" w:rsidRPr="0069784D" w:rsidRDefault="00025DA7" w:rsidP="009C15CF">
      <w:pPr>
        <w:jc w:val="both"/>
        <w:rPr>
          <w:lang w:val="nl-BE"/>
        </w:rPr>
      </w:pPr>
      <w:r w:rsidRPr="0069784D">
        <w:rPr>
          <w:lang w:val="nl-BE"/>
        </w:rPr>
        <w:t xml:space="preserve">In 2007 kreeg het </w:t>
      </w:r>
      <w:r w:rsidR="00D7399A" w:rsidRPr="0069784D">
        <w:rPr>
          <w:lang w:val="nl-BE"/>
        </w:rPr>
        <w:t xml:space="preserve">Grondwettelijk Hof </w:t>
      </w:r>
      <w:r w:rsidRPr="0069784D">
        <w:rPr>
          <w:lang w:val="nl-BE"/>
        </w:rPr>
        <w:t xml:space="preserve">een vraag voorgelegd over de vereiste eenparigheid van stemmen op het niveau van het hoger beroep voor de bestraffing van een beklaagde die in eerste aanleg tot een geldboete werd veroordeeld en die zelf een werkstraf vroeg, terwijl eenparigheid van stemmen niet vereist is indien </w:t>
      </w:r>
      <w:r w:rsidR="00D7399A" w:rsidRPr="0069784D">
        <w:rPr>
          <w:lang w:val="nl-BE"/>
        </w:rPr>
        <w:t>een beklaagde</w:t>
      </w:r>
      <w:r w:rsidRPr="0069784D">
        <w:rPr>
          <w:lang w:val="nl-BE"/>
        </w:rPr>
        <w:t xml:space="preserve"> in eerste aanleg tot een gevangenisstraf is veroordeeld. Het Hof was </w:t>
      </w:r>
      <w:r w:rsidR="00D7399A" w:rsidRPr="0069784D">
        <w:rPr>
          <w:lang w:val="nl-BE"/>
        </w:rPr>
        <w:t xml:space="preserve">daarbij </w:t>
      </w:r>
      <w:r w:rsidRPr="0069784D">
        <w:rPr>
          <w:lang w:val="nl-BE"/>
        </w:rPr>
        <w:t xml:space="preserve">van oordeel dat artikel 211bis van het Wetboek van Strafvordering onevenredige gevolgen heeft die niet in overeenstemming zijn met de doelstellingen van de werkstraf, namelijk </w:t>
      </w:r>
      <w:r w:rsidR="00D7399A" w:rsidRPr="0069784D">
        <w:rPr>
          <w:lang w:val="nl-BE"/>
        </w:rPr>
        <w:t>de intentie</w:t>
      </w:r>
      <w:r w:rsidRPr="0069784D">
        <w:rPr>
          <w:lang w:val="nl-BE"/>
        </w:rPr>
        <w:t xml:space="preserve"> om deze </w:t>
      </w:r>
      <w:r w:rsidR="00D7399A" w:rsidRPr="0069784D">
        <w:rPr>
          <w:lang w:val="nl-BE"/>
        </w:rPr>
        <w:t xml:space="preserve">straf </w:t>
      </w:r>
      <w:r w:rsidRPr="0069784D">
        <w:rPr>
          <w:lang w:val="nl-BE"/>
        </w:rPr>
        <w:t xml:space="preserve">op te vatten als een alternatief voor </w:t>
      </w:r>
      <w:r w:rsidR="00D7399A" w:rsidRPr="0069784D">
        <w:rPr>
          <w:lang w:val="nl-BE"/>
        </w:rPr>
        <w:t xml:space="preserve">de </w:t>
      </w:r>
      <w:r w:rsidRPr="0069784D">
        <w:rPr>
          <w:lang w:val="nl-BE"/>
        </w:rPr>
        <w:t>korte gevangenisstraffen en geldstraffen</w:t>
      </w:r>
      <w:r w:rsidR="00D7399A" w:rsidRPr="0069784D">
        <w:rPr>
          <w:lang w:val="nl-BE"/>
        </w:rPr>
        <w:t>,</w:t>
      </w:r>
      <w:r w:rsidRPr="0069784D">
        <w:rPr>
          <w:lang w:val="nl-BE"/>
        </w:rPr>
        <w:t xml:space="preserve"> die aanzienlijke economische gevolgen kunnen hebben</w:t>
      </w:r>
      <w:r w:rsidR="007735B9" w:rsidRPr="0069784D">
        <w:rPr>
          <w:lang w:val="nl-BE"/>
        </w:rPr>
        <w:t xml:space="preserve"> (</w:t>
      </w:r>
      <w:r w:rsidR="00D7399A" w:rsidRPr="0069784D">
        <w:rPr>
          <w:lang w:val="nl-BE"/>
        </w:rPr>
        <w:t>Grondwettelijk Hof</w:t>
      </w:r>
      <w:r w:rsidR="007735B9" w:rsidRPr="0069784D">
        <w:rPr>
          <w:lang w:val="nl-BE"/>
        </w:rPr>
        <w:t>, 28 novemb</w:t>
      </w:r>
      <w:r w:rsidR="00BF70AD" w:rsidRPr="0069784D">
        <w:rPr>
          <w:lang w:val="nl-BE"/>
        </w:rPr>
        <w:t>er</w:t>
      </w:r>
      <w:r w:rsidR="007735B9" w:rsidRPr="0069784D">
        <w:rPr>
          <w:lang w:val="nl-BE"/>
        </w:rPr>
        <w:t xml:space="preserve"> 2007, </w:t>
      </w:r>
      <w:r w:rsidR="00BF70AD" w:rsidRPr="0069784D">
        <w:rPr>
          <w:lang w:val="nl-BE"/>
        </w:rPr>
        <w:t>plenaire zitting</w:t>
      </w:r>
      <w:r w:rsidR="007735B9" w:rsidRPr="0069784D">
        <w:rPr>
          <w:lang w:val="nl-BE"/>
        </w:rPr>
        <w:t>, n</w:t>
      </w:r>
      <w:r w:rsidR="00BF70AD" w:rsidRPr="0069784D">
        <w:rPr>
          <w:lang w:val="nl-BE"/>
        </w:rPr>
        <w:t>r.</w:t>
      </w:r>
      <w:r w:rsidR="007735B9" w:rsidRPr="0069784D">
        <w:rPr>
          <w:lang w:val="nl-BE"/>
        </w:rPr>
        <w:t xml:space="preserve"> 147/2007).</w:t>
      </w:r>
    </w:p>
    <w:p w14:paraId="5402D3FE" w14:textId="77777777" w:rsidR="007735B9" w:rsidRPr="0069784D" w:rsidRDefault="007735B9" w:rsidP="009C15CF">
      <w:pPr>
        <w:jc w:val="both"/>
        <w:rPr>
          <w:lang w:val="nl-BE"/>
        </w:rPr>
      </w:pPr>
    </w:p>
    <w:p w14:paraId="0B8BAA71" w14:textId="686E81A8" w:rsidR="007735B9" w:rsidRPr="0069784D" w:rsidRDefault="00025DA7" w:rsidP="009C15CF">
      <w:pPr>
        <w:jc w:val="both"/>
        <w:rPr>
          <w:b/>
          <w:u w:val="single"/>
          <w:lang w:val="nl-BE"/>
        </w:rPr>
      </w:pPr>
      <w:r w:rsidRPr="0069784D">
        <w:rPr>
          <w:b/>
          <w:u w:val="single"/>
          <w:lang w:val="nl-BE"/>
        </w:rPr>
        <w:t>Collectief misdrijf</w:t>
      </w:r>
      <w:r w:rsidR="007735B9" w:rsidRPr="0069784D">
        <w:rPr>
          <w:b/>
          <w:u w:val="single"/>
          <w:lang w:val="nl-BE"/>
        </w:rPr>
        <w:t xml:space="preserve"> </w:t>
      </w:r>
    </w:p>
    <w:p w14:paraId="08166B80" w14:textId="4AD24246" w:rsidR="007735B9" w:rsidRPr="0069784D" w:rsidRDefault="00D7399A" w:rsidP="009C15CF">
      <w:pPr>
        <w:jc w:val="both"/>
        <w:rPr>
          <w:lang w:val="nl-BE"/>
        </w:rPr>
      </w:pPr>
      <w:r w:rsidRPr="0069784D">
        <w:rPr>
          <w:lang w:val="nl-BE"/>
        </w:rPr>
        <w:t xml:space="preserve">Bij zedenmisdrijven komt </w:t>
      </w:r>
      <w:r w:rsidR="00C526B7" w:rsidRPr="0069784D">
        <w:rPr>
          <w:lang w:val="nl-BE"/>
        </w:rPr>
        <w:t>volgende</w:t>
      </w:r>
      <w:r w:rsidRPr="0069784D">
        <w:rPr>
          <w:lang w:val="nl-BE"/>
        </w:rPr>
        <w:t xml:space="preserve"> hypothese vaak voor: verschillende strafbare feiten worden gelijktijdig aan de rechter ten gronde voorgelegd en vormen de opeenvolgende manifestatie van hetzelfde misdadig oogmerk</w:t>
      </w:r>
      <w:r w:rsidR="00C526B7" w:rsidRPr="0069784D">
        <w:rPr>
          <w:lang w:val="nl-BE"/>
        </w:rPr>
        <w:t xml:space="preserve">, waarbij evenwel uitsluitend </w:t>
      </w:r>
      <w:r w:rsidRPr="0069784D">
        <w:rPr>
          <w:lang w:val="nl-BE"/>
        </w:rPr>
        <w:t xml:space="preserve">de zwaarste straf </w:t>
      </w:r>
      <w:r w:rsidR="00C526B7" w:rsidRPr="0069784D">
        <w:rPr>
          <w:lang w:val="nl-BE"/>
        </w:rPr>
        <w:t>wordt</w:t>
      </w:r>
      <w:r w:rsidRPr="0069784D">
        <w:rPr>
          <w:lang w:val="nl-BE"/>
        </w:rPr>
        <w:t xml:space="preserve"> opgelegd. Dit collectief misdrijf wordt geacht te bestaan op de dag van </w:t>
      </w:r>
      <w:r w:rsidR="00BF3AEF" w:rsidRPr="0069784D">
        <w:rPr>
          <w:lang w:val="nl-BE"/>
        </w:rPr>
        <w:t>het laatste feit</w:t>
      </w:r>
      <w:r w:rsidRPr="0069784D">
        <w:rPr>
          <w:lang w:val="nl-BE"/>
        </w:rPr>
        <w:t xml:space="preserve">, zodat de op </w:t>
      </w:r>
      <w:r w:rsidR="00BF3AEF" w:rsidRPr="0069784D">
        <w:rPr>
          <w:lang w:val="nl-BE"/>
        </w:rPr>
        <w:t>deze</w:t>
      </w:r>
      <w:r w:rsidRPr="0069784D">
        <w:rPr>
          <w:lang w:val="nl-BE"/>
        </w:rPr>
        <w:t xml:space="preserve"> </w:t>
      </w:r>
      <w:r w:rsidR="00BF3AEF" w:rsidRPr="0069784D">
        <w:rPr>
          <w:lang w:val="nl-BE"/>
        </w:rPr>
        <w:t xml:space="preserve">dag </w:t>
      </w:r>
      <w:r w:rsidRPr="0069784D">
        <w:rPr>
          <w:lang w:val="nl-BE"/>
        </w:rPr>
        <w:t xml:space="preserve">geldende wet van toepassing is, zelfs indien de </w:t>
      </w:r>
      <w:r w:rsidR="00BF3AEF" w:rsidRPr="0069784D">
        <w:rPr>
          <w:lang w:val="nl-BE"/>
        </w:rPr>
        <w:t xml:space="preserve">sanctie waarin is voorzien </w:t>
      </w:r>
      <w:r w:rsidRPr="0069784D">
        <w:rPr>
          <w:lang w:val="nl-BE"/>
        </w:rPr>
        <w:t xml:space="preserve">op de dag van </w:t>
      </w:r>
      <w:r w:rsidR="00BF3AEF" w:rsidRPr="0069784D">
        <w:rPr>
          <w:lang w:val="nl-BE"/>
        </w:rPr>
        <w:t>het</w:t>
      </w:r>
      <w:r w:rsidRPr="0069784D">
        <w:rPr>
          <w:lang w:val="nl-BE"/>
        </w:rPr>
        <w:t xml:space="preserve"> eerste </w:t>
      </w:r>
      <w:r w:rsidR="00BF3AEF" w:rsidRPr="0069784D">
        <w:rPr>
          <w:lang w:val="nl-BE"/>
        </w:rPr>
        <w:t>feit</w:t>
      </w:r>
      <w:r w:rsidRPr="0069784D">
        <w:rPr>
          <w:lang w:val="nl-BE"/>
        </w:rPr>
        <w:t xml:space="preserve"> minder </w:t>
      </w:r>
      <w:r w:rsidR="00BF3AEF" w:rsidRPr="0069784D">
        <w:rPr>
          <w:lang w:val="nl-BE"/>
        </w:rPr>
        <w:t>zwaar is dan deze die van toepassing is op de datum van inwerkingtreding van de nieuwe wet</w:t>
      </w:r>
      <w:r w:rsidRPr="0069784D">
        <w:rPr>
          <w:rStyle w:val="FootnoteReference"/>
          <w:lang w:val="nl-BE"/>
        </w:rPr>
        <w:footnoteReference w:customMarkFollows="1" w:id="88"/>
        <w:t>88</w:t>
      </w:r>
      <w:r w:rsidR="006E77AB" w:rsidRPr="0069784D">
        <w:rPr>
          <w:lang w:val="nl-BE"/>
        </w:rPr>
        <w:t>.</w:t>
      </w:r>
    </w:p>
    <w:p w14:paraId="5F26B4B0" w14:textId="77777777" w:rsidR="007735B9" w:rsidRPr="0069784D" w:rsidRDefault="007735B9" w:rsidP="009C15CF">
      <w:pPr>
        <w:jc w:val="both"/>
        <w:rPr>
          <w:lang w:val="nl-BE"/>
        </w:rPr>
      </w:pPr>
    </w:p>
    <w:p w14:paraId="5F24CD18" w14:textId="46136F6A" w:rsidR="007735B9" w:rsidRPr="0069784D" w:rsidRDefault="00317ABE" w:rsidP="009C15CF">
      <w:pPr>
        <w:jc w:val="both"/>
        <w:rPr>
          <w:lang w:val="nl-BE"/>
        </w:rPr>
      </w:pPr>
      <w:r w:rsidRPr="0069784D">
        <w:rPr>
          <w:lang w:val="nl-BE"/>
        </w:rPr>
        <w:t xml:space="preserve">De verzwarende factoren die in de wet van 21 maart 2022 zijn opgenomen, zijn elementen waarmee de wetgever de rechter rekening wil laten houden bij de keuze van de op te leggen straf. Zij lijken </w:t>
      </w:r>
      <w:r w:rsidRPr="0069784D">
        <w:rPr>
          <w:i/>
          <w:iCs/>
          <w:lang w:val="nl-BE"/>
        </w:rPr>
        <w:t>a priori</w:t>
      </w:r>
      <w:r w:rsidRPr="0069784D">
        <w:rPr>
          <w:lang w:val="nl-BE"/>
        </w:rPr>
        <w:t xml:space="preserve"> geen invloed te hebben op de vraag welke wet het strengst is.</w:t>
      </w:r>
    </w:p>
    <w:p w14:paraId="72A61C4F" w14:textId="77777777" w:rsidR="00317ABE" w:rsidRPr="0069784D" w:rsidRDefault="00317ABE" w:rsidP="009C15CF">
      <w:pPr>
        <w:jc w:val="both"/>
        <w:rPr>
          <w:lang w:val="nl-BE"/>
        </w:rPr>
      </w:pPr>
    </w:p>
    <w:p w14:paraId="21DCEF4E" w14:textId="16BC0942" w:rsidR="008A6778" w:rsidRPr="0069784D" w:rsidRDefault="008A6778" w:rsidP="009C15CF">
      <w:pPr>
        <w:pStyle w:val="Heading2"/>
        <w:jc w:val="both"/>
        <w:rPr>
          <w:b/>
          <w:color w:val="auto"/>
          <w:sz w:val="36"/>
          <w:szCs w:val="36"/>
          <w:lang w:val="nl-BE"/>
        </w:rPr>
      </w:pPr>
      <w:bookmarkStart w:id="60" w:name="_Toc104134082"/>
      <w:r w:rsidRPr="0069784D">
        <w:rPr>
          <w:b/>
          <w:color w:val="auto"/>
          <w:sz w:val="36"/>
          <w:szCs w:val="36"/>
          <w:lang w:val="nl-BE"/>
        </w:rPr>
        <w:t>C</w:t>
      </w:r>
      <w:r w:rsidR="007735B9" w:rsidRPr="0069784D">
        <w:rPr>
          <w:b/>
          <w:color w:val="auto"/>
          <w:sz w:val="36"/>
          <w:szCs w:val="36"/>
          <w:lang w:val="nl-BE"/>
        </w:rPr>
        <w:t>onclusi</w:t>
      </w:r>
      <w:r w:rsidR="00DF1C93" w:rsidRPr="0069784D">
        <w:rPr>
          <w:b/>
          <w:color w:val="auto"/>
          <w:sz w:val="36"/>
          <w:szCs w:val="36"/>
          <w:lang w:val="nl-BE"/>
        </w:rPr>
        <w:t>e</w:t>
      </w:r>
      <w:bookmarkEnd w:id="60"/>
    </w:p>
    <w:p w14:paraId="56E8E883" w14:textId="77777777" w:rsidR="00DF1C93" w:rsidRPr="0069784D" w:rsidRDefault="00DF1C93" w:rsidP="009C15CF">
      <w:pPr>
        <w:rPr>
          <w:lang w:val="nl-BE"/>
        </w:rPr>
      </w:pPr>
    </w:p>
    <w:p w14:paraId="33D55828" w14:textId="10769D2B" w:rsidR="007735B9" w:rsidRDefault="00DF1C93" w:rsidP="009C15CF">
      <w:pPr>
        <w:jc w:val="both"/>
        <w:rPr>
          <w:lang w:val="nl-BE"/>
        </w:rPr>
      </w:pPr>
      <w:r w:rsidRPr="0069784D">
        <w:rPr>
          <w:lang w:val="nl-BE"/>
        </w:rPr>
        <w:t xml:space="preserve">De wet van 22 maart 2022 zal wellicht aanleiding tot heel </w:t>
      </w:r>
      <w:r w:rsidR="007573B5" w:rsidRPr="0069784D">
        <w:rPr>
          <w:lang w:val="nl-BE"/>
        </w:rPr>
        <w:t>w</w:t>
      </w:r>
      <w:r w:rsidRPr="0069784D">
        <w:rPr>
          <w:lang w:val="nl-BE"/>
        </w:rPr>
        <w:t xml:space="preserve">at discussies geven over de delicate kwestie van de toepassing van de </w:t>
      </w:r>
      <w:r w:rsidR="00C526B7" w:rsidRPr="0069784D">
        <w:rPr>
          <w:lang w:val="nl-BE"/>
        </w:rPr>
        <w:t>straf</w:t>
      </w:r>
      <w:r w:rsidRPr="0069784D">
        <w:rPr>
          <w:lang w:val="nl-BE"/>
        </w:rPr>
        <w:t xml:space="preserve">wet in de tijd en tot een groot aantal vonnissen en arresten van zowel de rechtscolleges ten gronde als het Hof van Cassatie en het Grondwettelijk Hof. </w:t>
      </w:r>
    </w:p>
    <w:p w14:paraId="317833DE" w14:textId="77777777" w:rsidR="004D3C84" w:rsidRPr="0069784D" w:rsidRDefault="004D3C84" w:rsidP="009C15CF">
      <w:pPr>
        <w:jc w:val="both"/>
        <w:rPr>
          <w:lang w:val="nl-BE"/>
        </w:rPr>
      </w:pPr>
    </w:p>
    <w:p w14:paraId="408475B9" w14:textId="72EFDC06" w:rsidR="005E0184" w:rsidRPr="005E0184" w:rsidRDefault="005E0184" w:rsidP="009C15CF">
      <w:pPr>
        <w:pStyle w:val="ListParagraph"/>
        <w:numPr>
          <w:ilvl w:val="0"/>
          <w:numId w:val="22"/>
        </w:numPr>
        <w:jc w:val="both"/>
        <w:outlineLvl w:val="0"/>
        <w:rPr>
          <w:b/>
          <w:sz w:val="36"/>
          <w:szCs w:val="36"/>
          <w:lang w:val="nl-NL"/>
        </w:rPr>
      </w:pPr>
      <w:r w:rsidRPr="005E0184">
        <w:rPr>
          <w:b/>
          <w:sz w:val="36"/>
          <w:szCs w:val="36"/>
          <w:lang w:val="nl-NL"/>
        </w:rPr>
        <w:t>Bevoegdheid van de correctionele rechtbanken waarbij een zaak op een geldige manier aanhangig gemaakt werd vóór 1 juni 2022</w:t>
      </w:r>
    </w:p>
    <w:p w14:paraId="409430DB" w14:textId="77777777" w:rsidR="005E0184" w:rsidRPr="00E82155" w:rsidRDefault="005E0184" w:rsidP="009C15CF">
      <w:pPr>
        <w:jc w:val="both"/>
        <w:rPr>
          <w:lang w:val="nl-BE"/>
        </w:rPr>
      </w:pPr>
      <w:r w:rsidRPr="00E82155">
        <w:rPr>
          <w:lang w:val="nl-BE"/>
        </w:rPr>
        <w:t>De correctionele rechtbanken waarbij een zaak op een geldige manier aanhangig gemaakt werd vóór de inwerkingtreding van de nieuwe wet, blijven bevoegd om over de feiten te oordelen, ook al kunnen deze voortaan niet langer worden gecorrectionaliseerd wegens de verzwaring van de straffen en omwille van het feit dat de wet van 4 oktober 1867 op de verzachtende omstandigheden niet gewijzigd werd.</w:t>
      </w:r>
    </w:p>
    <w:p w14:paraId="10230FC9" w14:textId="77777777" w:rsidR="005E0184" w:rsidRPr="00E82155" w:rsidRDefault="005E0184" w:rsidP="009C15CF">
      <w:pPr>
        <w:jc w:val="both"/>
        <w:rPr>
          <w:lang w:val="nl-BE"/>
        </w:rPr>
      </w:pPr>
      <w:r w:rsidRPr="00E82155">
        <w:rPr>
          <w:lang w:val="nl-BE"/>
        </w:rPr>
        <w:t>De 18e kamer van het hof van beroep Luik herinnerde in een arrest van 1 maart 2018 (blz. 216) aan de beginselen ter zake naar aanleiding van het onderzoek in hoger beroep van een gecorrectionaliseerde misdaad die onder het toepassingsgebied van de wet van 5 februari 2016 viel, wet die evenwel door het arrest nr. 148/2017 van 21 december 2017 van het Grondwettelijk Hof vernietigd werd.</w:t>
      </w:r>
    </w:p>
    <w:p w14:paraId="2C215DC6" w14:textId="77777777" w:rsidR="005E0184" w:rsidRPr="00E82155" w:rsidRDefault="005E0184" w:rsidP="009C15CF">
      <w:pPr>
        <w:jc w:val="both"/>
        <w:rPr>
          <w:lang w:val="nl-BE"/>
        </w:rPr>
      </w:pPr>
      <w:r w:rsidRPr="00E82155">
        <w:rPr>
          <w:lang w:val="nl-BE"/>
        </w:rPr>
        <w:t xml:space="preserve">Hierbij stelde zich de vraag wat er dient te gebeuren met misdaden die op een geldige manier gecorrectionaliseerd werden overeenkomstig een wet die in een later stadium vernietigd werd en die bijgevolg op de dag van het arrest niet langer op een geldige manier gecorrectionaliseerd konden zijn. </w:t>
      </w:r>
    </w:p>
    <w:p w14:paraId="171740E9" w14:textId="77777777" w:rsidR="005E0184" w:rsidRPr="00E82155" w:rsidRDefault="005E0184" w:rsidP="009C15CF">
      <w:pPr>
        <w:jc w:val="both"/>
        <w:rPr>
          <w:lang w:val="nl-BE"/>
        </w:rPr>
      </w:pPr>
      <w:r w:rsidRPr="00E82155">
        <w:rPr>
          <w:lang w:val="nl-BE"/>
        </w:rPr>
        <w:t>Het Grondwettelijk Hof oordeelde dat alle gevolgen van de overeenkomstig de vernietigde wet uitgesproken rechterlijke beslissingen wel degelijk gehandhaafd dienden te blijven.</w:t>
      </w:r>
    </w:p>
    <w:p w14:paraId="7221E529" w14:textId="77777777" w:rsidR="005E0184" w:rsidRPr="00E82155" w:rsidRDefault="005E0184" w:rsidP="009C15CF">
      <w:pPr>
        <w:jc w:val="both"/>
        <w:rPr>
          <w:lang w:val="nl-BE"/>
        </w:rPr>
      </w:pPr>
      <w:r w:rsidRPr="00E82155">
        <w:rPr>
          <w:lang w:val="nl-BE"/>
        </w:rPr>
        <w:t>Het hof van beroep Luik concludeerde hieruit dat alle gevolgen van een geldig genomen beslissing, en meer in het bijzonder de beslissingen inzake de regeling van de rechtspleging, gehandhaafd dienen te blijven.</w:t>
      </w:r>
    </w:p>
    <w:p w14:paraId="196150C8" w14:textId="77777777" w:rsidR="005E0184" w:rsidRPr="00E82155" w:rsidRDefault="005E0184" w:rsidP="009C15CF">
      <w:pPr>
        <w:jc w:val="both"/>
        <w:rPr>
          <w:lang w:val="nl-BE"/>
        </w:rPr>
      </w:pPr>
      <w:r w:rsidRPr="00E82155">
        <w:rPr>
          <w:lang w:val="nl-BE"/>
        </w:rPr>
        <w:t>Deze interpretatie werd bekrachtigd door Damien VANDERMEERSCH (</w:t>
      </w:r>
      <w:r w:rsidRPr="00E82155">
        <w:rPr>
          <w:i/>
          <w:iCs/>
          <w:lang w:val="nl-BE"/>
        </w:rPr>
        <w:t>La Cour constitutionnelle recadre le législateur “pot-pourri II”</w:t>
      </w:r>
      <w:r w:rsidRPr="00E82155">
        <w:rPr>
          <w:lang w:val="nl-BE"/>
        </w:rPr>
        <w:t>, J.T., 3 februari 2018, p. 83).</w:t>
      </w:r>
    </w:p>
    <w:p w14:paraId="4564B7F0" w14:textId="77777777" w:rsidR="005E0184" w:rsidRPr="00E82155" w:rsidRDefault="005E0184" w:rsidP="009C15CF">
      <w:pPr>
        <w:jc w:val="both"/>
        <w:rPr>
          <w:lang w:val="nl-BE"/>
        </w:rPr>
      </w:pPr>
      <w:r w:rsidRPr="00E82155">
        <w:rPr>
          <w:lang w:val="nl-BE"/>
        </w:rPr>
        <w:lastRenderedPageBreak/>
        <w:t>In deze context is de situatie duidelijker, aangezien het hierbij niet gaat om de vernietiging van een wet, maar om de toepassing van een nieuwe wet.</w:t>
      </w:r>
    </w:p>
    <w:p w14:paraId="43F13D44" w14:textId="77777777" w:rsidR="005E0184" w:rsidRPr="00E82155" w:rsidRDefault="005E0184" w:rsidP="009C15CF">
      <w:pPr>
        <w:jc w:val="both"/>
        <w:rPr>
          <w:lang w:val="nl-BE"/>
        </w:rPr>
      </w:pPr>
      <w:r w:rsidRPr="00E82155">
        <w:rPr>
          <w:lang w:val="nl-BE"/>
        </w:rPr>
        <w:t xml:space="preserve">Overeenkomstig artikel 3 van het Gerechtelijk Wetboek, dat in het algemeen het overgangsrecht inzake de rechtsplegingsregels regelt, zijn de nieuwe bepalingen onmiddellijk van toepassing, zonder dat ze </w:t>
      </w:r>
      <w:r w:rsidRPr="00E82155">
        <w:rPr>
          <w:color w:val="000000"/>
          <w:lang w:val="nl-BE"/>
        </w:rPr>
        <w:t>worden onttrokken aan de instantie van het gerecht waarvoor zij op geldige wijze aanhangig zijn gemaakt</w:t>
      </w:r>
      <w:r w:rsidRPr="00E82155">
        <w:rPr>
          <w:lang w:val="nl-BE"/>
        </w:rPr>
        <w:t xml:space="preserve">. </w:t>
      </w:r>
    </w:p>
    <w:p w14:paraId="1AA3C1B0" w14:textId="18C833B2" w:rsidR="007735B9" w:rsidRDefault="005E0184" w:rsidP="009C15CF">
      <w:pPr>
        <w:jc w:val="both"/>
        <w:rPr>
          <w:lang w:val="nl-BE"/>
        </w:rPr>
      </w:pPr>
      <w:r w:rsidRPr="00E82155">
        <w:rPr>
          <w:lang w:val="nl-BE"/>
        </w:rPr>
        <w:t xml:space="preserve">Niettemin zou de vraag gesteld kunnen worden of het hof van beroep wel bevoegd is voor een hoger beroep dat ingesteld wordt na 1 juni 2022, aangezien overeenkomstig ditzelfde artikel 3 van het Gerechtelijk Wetboek het in principe de door de wet nieuw aangewezen beroepsrechter zou moeten zijn die bevoegd is. In dit geval blijft het hof van beroep evenwel wel degelijk bevoegd aangezien er geen beroepsinstantie bestaat voor misdaden die niet correctionaliseerbaar zijn (Damien VANDERMEERSCH, </w:t>
      </w:r>
      <w:r w:rsidRPr="00E82155">
        <w:rPr>
          <w:i/>
          <w:iCs/>
          <w:lang w:val="nl-BE"/>
        </w:rPr>
        <w:t>La Cour constitutionnelle recadre le législateur “pot-pourri II”</w:t>
      </w:r>
      <w:r w:rsidRPr="00E82155">
        <w:rPr>
          <w:lang w:val="nl-BE"/>
        </w:rPr>
        <w:t>, J.T., 3 februari 2018, J.T., 3 februari 2018, blz. 84, noot 17).</w:t>
      </w:r>
    </w:p>
    <w:p w14:paraId="6D6CCFEC" w14:textId="77777777" w:rsidR="005E0184" w:rsidRPr="0069784D" w:rsidRDefault="005E0184" w:rsidP="009C15CF">
      <w:pPr>
        <w:jc w:val="both"/>
        <w:rPr>
          <w:lang w:val="nl-BE"/>
        </w:rPr>
      </w:pPr>
    </w:p>
    <w:p w14:paraId="174A3789" w14:textId="3CE0826E" w:rsidR="007735B9" w:rsidRPr="0069784D" w:rsidRDefault="00D37ED8" w:rsidP="009C15CF">
      <w:pPr>
        <w:pStyle w:val="ListParagraph"/>
        <w:numPr>
          <w:ilvl w:val="0"/>
          <w:numId w:val="22"/>
        </w:numPr>
        <w:jc w:val="both"/>
        <w:outlineLvl w:val="0"/>
        <w:rPr>
          <w:b/>
          <w:sz w:val="36"/>
          <w:szCs w:val="36"/>
          <w:lang w:val="fr-BE"/>
        </w:rPr>
      </w:pPr>
      <w:bookmarkStart w:id="61" w:name="_Toc104134083"/>
      <w:r w:rsidRPr="0069784D">
        <w:rPr>
          <w:b/>
          <w:sz w:val="36"/>
          <w:szCs w:val="36"/>
          <w:lang w:val="fr-BE"/>
        </w:rPr>
        <w:t>Evaluati</w:t>
      </w:r>
      <w:r w:rsidR="00DF1C93" w:rsidRPr="0069784D">
        <w:rPr>
          <w:b/>
          <w:sz w:val="36"/>
          <w:szCs w:val="36"/>
          <w:lang w:val="fr-BE"/>
        </w:rPr>
        <w:t>e van de omzendbrief</w:t>
      </w:r>
      <w:bookmarkEnd w:id="61"/>
    </w:p>
    <w:p w14:paraId="2EEC084D" w14:textId="77777777" w:rsidR="00D703D6" w:rsidRDefault="00D703D6" w:rsidP="009C15CF">
      <w:pPr>
        <w:jc w:val="both"/>
        <w:rPr>
          <w:lang w:val="nl-BE"/>
        </w:rPr>
      </w:pPr>
    </w:p>
    <w:p w14:paraId="154137E6" w14:textId="76261B23" w:rsidR="00D37ED8" w:rsidRPr="0069784D" w:rsidRDefault="00DF1C93" w:rsidP="009C15CF">
      <w:pPr>
        <w:jc w:val="both"/>
        <w:rPr>
          <w:lang w:val="nl-BE"/>
        </w:rPr>
      </w:pPr>
      <w:r w:rsidRPr="0069784D">
        <w:rPr>
          <w:lang w:val="nl-BE"/>
        </w:rPr>
        <w:t>Deze omzendbrief zal twee jaar na de inwerkingtreding ervan geëvalueerd worden</w:t>
      </w:r>
      <w:r w:rsidR="00D37ED8" w:rsidRPr="0069784D">
        <w:rPr>
          <w:lang w:val="nl-BE"/>
        </w:rPr>
        <w:t>.</w:t>
      </w:r>
    </w:p>
    <w:p w14:paraId="020A1DB8" w14:textId="1B4C205E" w:rsidR="00D37ED8" w:rsidRPr="0069784D" w:rsidRDefault="00DF1C93" w:rsidP="009C15CF">
      <w:pPr>
        <w:jc w:val="both"/>
        <w:rPr>
          <w:lang w:val="nl-BE"/>
        </w:rPr>
      </w:pPr>
      <w:r w:rsidRPr="0069784D">
        <w:rPr>
          <w:lang w:val="nl-BE"/>
        </w:rPr>
        <w:t xml:space="preserve">Intussen zal elke procureur-generaal alle interessante rechterlijke beslissingen uit zijn rechtsgebied verzamelen die uitgesproken werden </w:t>
      </w:r>
      <w:r w:rsidR="00C526B7" w:rsidRPr="0069784D">
        <w:rPr>
          <w:lang w:val="nl-BE"/>
        </w:rPr>
        <w:t>betreffende</w:t>
      </w:r>
      <w:r w:rsidRPr="0069784D">
        <w:rPr>
          <w:lang w:val="nl-BE"/>
        </w:rPr>
        <w:t xml:space="preserve"> de wet van 21 maart 2022, teneinde deze op regelmatige basis voor te kunnen leggen aan het expertisenetwerk “Criminaliteit tegen de Personen” en/of het expertisenetwerk “Mensenhandel en Mensensmokkel”, al naargelang de materie in kwestie. </w:t>
      </w:r>
    </w:p>
    <w:p w14:paraId="1FB6DDC8" w14:textId="77777777" w:rsidR="009F6B59" w:rsidRPr="0069784D" w:rsidRDefault="009F6B59" w:rsidP="009C15CF">
      <w:pPr>
        <w:jc w:val="both"/>
        <w:rPr>
          <w:lang w:val="nl-BE"/>
        </w:rPr>
      </w:pPr>
    </w:p>
    <w:p w14:paraId="5922C0EF" w14:textId="4187A996" w:rsidR="00DF2A73" w:rsidRPr="0069784D" w:rsidRDefault="00DF1C93" w:rsidP="009C15CF">
      <w:pPr>
        <w:pStyle w:val="ListParagraph"/>
        <w:numPr>
          <w:ilvl w:val="0"/>
          <w:numId w:val="22"/>
        </w:numPr>
        <w:jc w:val="both"/>
        <w:outlineLvl w:val="0"/>
        <w:rPr>
          <w:b/>
          <w:sz w:val="36"/>
          <w:szCs w:val="36"/>
          <w:lang w:val="fr-BE"/>
        </w:rPr>
      </w:pPr>
      <w:bookmarkStart w:id="62" w:name="_Toc104134084"/>
      <w:r w:rsidRPr="0069784D">
        <w:rPr>
          <w:b/>
          <w:sz w:val="36"/>
          <w:szCs w:val="36"/>
          <w:lang w:val="fr-BE"/>
        </w:rPr>
        <w:t>Bijlagen</w:t>
      </w:r>
      <w:bookmarkEnd w:id="62"/>
    </w:p>
    <w:p w14:paraId="4884B662" w14:textId="77777777" w:rsidR="00D34618" w:rsidRPr="0069784D" w:rsidRDefault="00D34618" w:rsidP="009C15CF">
      <w:pPr>
        <w:jc w:val="both"/>
        <w:rPr>
          <w:lang w:val="nl-BE"/>
        </w:rPr>
      </w:pPr>
    </w:p>
    <w:p w14:paraId="1D029C61" w14:textId="3E4DC4D3" w:rsidR="009F6B59" w:rsidRPr="0069784D" w:rsidRDefault="00DF1C93" w:rsidP="009C15CF">
      <w:pPr>
        <w:jc w:val="both"/>
        <w:rPr>
          <w:lang w:val="nl-BE"/>
        </w:rPr>
      </w:pPr>
      <w:r w:rsidRPr="0069784D">
        <w:rPr>
          <w:lang w:val="nl-BE"/>
        </w:rPr>
        <w:t xml:space="preserve">Als bijlage 1 wordt een vademecum (vergelijkende tabel van de strafbaarstellingen en straffen uit de vroegere en huidige wet) gevoegd voor de meest voorkomende misdrijven uit het nieuwe hoofdstuk </w:t>
      </w:r>
      <w:r w:rsidR="00D37ED8" w:rsidRPr="0069784D">
        <w:rPr>
          <w:lang w:val="nl-BE"/>
        </w:rPr>
        <w:t>I/1</w:t>
      </w:r>
      <w:r w:rsidR="000E1269" w:rsidRPr="0069784D">
        <w:rPr>
          <w:lang w:val="nl-BE"/>
        </w:rPr>
        <w:t>.</w:t>
      </w:r>
    </w:p>
    <w:p w14:paraId="18978A41" w14:textId="30072BBE" w:rsidR="00C90D0C" w:rsidRPr="00725904" w:rsidRDefault="00DF1C93" w:rsidP="009C15CF">
      <w:pPr>
        <w:jc w:val="both"/>
        <w:rPr>
          <w:lang w:val="nl-BE"/>
        </w:rPr>
      </w:pPr>
      <w:r w:rsidRPr="0069784D">
        <w:rPr>
          <w:lang w:val="nl-BE"/>
        </w:rPr>
        <w:t>Als bijlage 2 figureren de boomstructuur en kwalificaties uit de MaCH-applicatie betreffende deze nieuwe wet.</w:t>
      </w:r>
      <w:r w:rsidRPr="00DF1C93">
        <w:rPr>
          <w:lang w:val="nl-BE"/>
        </w:rPr>
        <w:t xml:space="preserve"> </w:t>
      </w:r>
    </w:p>
    <w:sectPr w:rsidR="00C90D0C" w:rsidRPr="00725904">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7214" w14:textId="77777777" w:rsidR="00617918" w:rsidRDefault="00617918" w:rsidP="00C303B4">
      <w:pPr>
        <w:spacing w:after="0" w:line="240" w:lineRule="auto"/>
      </w:pPr>
      <w:r>
        <w:separator/>
      </w:r>
    </w:p>
  </w:endnote>
  <w:endnote w:type="continuationSeparator" w:id="0">
    <w:p w14:paraId="0C37C6A5" w14:textId="77777777" w:rsidR="00617918" w:rsidRDefault="00617918" w:rsidP="00C3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325936"/>
      <w:docPartObj>
        <w:docPartGallery w:val="Page Numbers (Bottom of Page)"/>
        <w:docPartUnique/>
      </w:docPartObj>
    </w:sdtPr>
    <w:sdtEndPr/>
    <w:sdtContent>
      <w:p w14:paraId="3FC43C25" w14:textId="77777777" w:rsidR="00617918" w:rsidRDefault="00617918">
        <w:pPr>
          <w:pStyle w:val="Footer"/>
          <w:jc w:val="center"/>
        </w:pPr>
        <w:r>
          <w:fldChar w:fldCharType="begin"/>
        </w:r>
        <w:r>
          <w:instrText>PAGE   \* MERGEFORMAT</w:instrText>
        </w:r>
        <w:r>
          <w:fldChar w:fldCharType="separate"/>
        </w:r>
        <w:r w:rsidR="000042F5" w:rsidRPr="000042F5">
          <w:rPr>
            <w:noProof/>
            <w:lang w:val="fr-FR"/>
          </w:rPr>
          <w:t>21</w:t>
        </w:r>
        <w:r>
          <w:fldChar w:fldCharType="end"/>
        </w:r>
      </w:p>
    </w:sdtContent>
  </w:sdt>
  <w:p w14:paraId="66442DAF" w14:textId="77777777" w:rsidR="00617918" w:rsidRDefault="00617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39FD" w14:textId="77777777" w:rsidR="00617918" w:rsidRDefault="00617918" w:rsidP="00C303B4">
      <w:pPr>
        <w:spacing w:after="0" w:line="240" w:lineRule="auto"/>
      </w:pPr>
      <w:r>
        <w:separator/>
      </w:r>
    </w:p>
  </w:footnote>
  <w:footnote w:type="continuationSeparator" w:id="0">
    <w:p w14:paraId="79041BA6" w14:textId="77777777" w:rsidR="00617918" w:rsidRDefault="00617918" w:rsidP="00C303B4">
      <w:pPr>
        <w:spacing w:after="0" w:line="240" w:lineRule="auto"/>
      </w:pPr>
      <w:r>
        <w:continuationSeparator/>
      </w:r>
    </w:p>
  </w:footnote>
  <w:footnote w:id="1">
    <w:p w14:paraId="1810CFA7" w14:textId="5751632E" w:rsidR="00617918" w:rsidRPr="00EB17A3" w:rsidRDefault="00617918" w:rsidP="009B112A">
      <w:pPr>
        <w:pStyle w:val="FootnoteText"/>
        <w:jc w:val="both"/>
        <w:rPr>
          <w:lang w:val="nl-BE"/>
        </w:rPr>
      </w:pPr>
      <w:r>
        <w:rPr>
          <w:rStyle w:val="FootnoteReference"/>
        </w:rPr>
        <w:footnoteRef/>
      </w:r>
      <w:r w:rsidRPr="00EB17A3">
        <w:rPr>
          <w:lang w:val="nl-BE"/>
        </w:rPr>
        <w:t xml:space="preserve"> De bijlage met de concordantietabel werd toe</w:t>
      </w:r>
      <w:r>
        <w:rPr>
          <w:lang w:val="nl-BE"/>
        </w:rPr>
        <w:t>ge</w:t>
      </w:r>
      <w:r w:rsidRPr="00EB17A3">
        <w:rPr>
          <w:lang w:val="nl-BE"/>
        </w:rPr>
        <w:t xml:space="preserve">voegd via </w:t>
      </w:r>
      <w:r>
        <w:rPr>
          <w:lang w:val="nl-BE"/>
        </w:rPr>
        <w:t>een</w:t>
      </w:r>
      <w:r w:rsidRPr="00EB17A3">
        <w:rPr>
          <w:lang w:val="nl-BE"/>
        </w:rPr>
        <w:t xml:space="preserve"> erratum, dat in het </w:t>
      </w:r>
      <w:r>
        <w:rPr>
          <w:lang w:val="nl-BE"/>
        </w:rPr>
        <w:t>Belgisch Staatsblad van 10 mei 2022 gepubliceerd werd (pagina’s</w:t>
      </w:r>
      <w:r w:rsidRPr="00EB17A3">
        <w:rPr>
          <w:lang w:val="nl-BE"/>
        </w:rPr>
        <w:t xml:space="preserve"> 41820 </w:t>
      </w:r>
      <w:r>
        <w:rPr>
          <w:lang w:val="nl-BE"/>
        </w:rPr>
        <w:t>tot</w:t>
      </w:r>
      <w:r w:rsidRPr="00EB17A3">
        <w:rPr>
          <w:lang w:val="nl-BE"/>
        </w:rPr>
        <w:t xml:space="preserve"> 41822</w:t>
      </w:r>
      <w:r>
        <w:rPr>
          <w:lang w:val="nl-BE"/>
        </w:rPr>
        <w:t>)</w:t>
      </w:r>
      <w:r w:rsidRPr="00EB17A3">
        <w:rPr>
          <w:lang w:val="nl-BE"/>
        </w:rPr>
        <w:t>.</w:t>
      </w:r>
    </w:p>
  </w:footnote>
  <w:footnote w:id="2">
    <w:p w14:paraId="5EDAF1ED" w14:textId="46DAB984" w:rsidR="00617918" w:rsidRPr="00293020" w:rsidRDefault="00617918">
      <w:pPr>
        <w:pStyle w:val="FootnoteText"/>
        <w:rPr>
          <w:lang w:val="nl-BE"/>
        </w:rPr>
      </w:pPr>
      <w:r w:rsidRPr="006F6BF0">
        <w:rPr>
          <w:rStyle w:val="FootnoteReference"/>
          <w:lang w:val="nl-BE"/>
        </w:rPr>
        <w:t>2</w:t>
      </w:r>
      <w:r w:rsidRPr="006F6BF0">
        <w:rPr>
          <w:lang w:val="nl-BE"/>
        </w:rPr>
        <w:t xml:space="preserve"> </w:t>
      </w:r>
      <w:r w:rsidRPr="006A1628">
        <w:rPr>
          <w:lang w:val="nl-BE"/>
        </w:rPr>
        <w:t>DOC 55 2141/001, pagina</w:t>
      </w:r>
      <w:r>
        <w:rPr>
          <w:lang w:val="nl-BE"/>
        </w:rPr>
        <w:t xml:space="preserve"> 70.</w:t>
      </w:r>
    </w:p>
  </w:footnote>
  <w:footnote w:id="3">
    <w:p w14:paraId="039D28FB" w14:textId="6FB7ECE0" w:rsidR="00617918" w:rsidRPr="00293020" w:rsidRDefault="00617918">
      <w:pPr>
        <w:pStyle w:val="FootnoteText"/>
        <w:rPr>
          <w:lang w:val="nl-BE"/>
        </w:rPr>
      </w:pPr>
      <w:r w:rsidRPr="006F6BF0">
        <w:rPr>
          <w:rStyle w:val="FootnoteReference"/>
          <w:lang w:val="nl-BE"/>
        </w:rPr>
        <w:t>3</w:t>
      </w:r>
      <w:r w:rsidRPr="006F6BF0">
        <w:rPr>
          <w:lang w:val="nl-BE"/>
        </w:rPr>
        <w:t xml:space="preserve"> </w:t>
      </w:r>
      <w:r w:rsidRPr="006A1628">
        <w:rPr>
          <w:lang w:val="nl-BE"/>
        </w:rPr>
        <w:t>DOC 55 2141/001, pagina</w:t>
      </w:r>
      <w:r>
        <w:rPr>
          <w:lang w:val="nl-BE"/>
        </w:rPr>
        <w:t xml:space="preserve"> 71.</w:t>
      </w:r>
    </w:p>
  </w:footnote>
  <w:footnote w:id="4">
    <w:p w14:paraId="1DDFF4C9" w14:textId="6B785290" w:rsidR="00617918" w:rsidRPr="006A1628" w:rsidRDefault="00617918" w:rsidP="009B112A">
      <w:pPr>
        <w:pStyle w:val="FootnoteText"/>
        <w:tabs>
          <w:tab w:val="left" w:pos="2934"/>
        </w:tabs>
        <w:rPr>
          <w:lang w:val="nl-BE"/>
        </w:rPr>
      </w:pPr>
      <w:r w:rsidRPr="006F6BF0">
        <w:rPr>
          <w:rStyle w:val="FootnoteReference"/>
          <w:lang w:val="nl-BE"/>
        </w:rPr>
        <w:t>4</w:t>
      </w:r>
      <w:r w:rsidRPr="006A1628">
        <w:rPr>
          <w:lang w:val="nl-BE"/>
        </w:rPr>
        <w:t xml:space="preserve"> DOC 55 2141/001, pagina 81.</w:t>
      </w:r>
    </w:p>
  </w:footnote>
  <w:footnote w:id="5">
    <w:p w14:paraId="05C5C5F0" w14:textId="1AA22D38" w:rsidR="00617918" w:rsidRPr="0002045A" w:rsidRDefault="00617918" w:rsidP="009B112A">
      <w:pPr>
        <w:pStyle w:val="FootnoteText"/>
        <w:jc w:val="both"/>
        <w:rPr>
          <w:lang w:val="nl-BE"/>
        </w:rPr>
      </w:pPr>
      <w:r w:rsidRPr="006F6BF0">
        <w:rPr>
          <w:rStyle w:val="FootnoteReference"/>
          <w:lang w:val="nl-BE"/>
        </w:rPr>
        <w:t>5</w:t>
      </w:r>
      <w:r w:rsidRPr="0002045A">
        <w:rPr>
          <w:lang w:val="nl-BE"/>
        </w:rPr>
        <w:t xml:space="preserve"> DOC 55 2141/001, pagina 52.</w:t>
      </w:r>
    </w:p>
  </w:footnote>
  <w:footnote w:id="6">
    <w:p w14:paraId="4CE4B88D" w14:textId="793E4D84" w:rsidR="00617918" w:rsidRPr="00F5697D" w:rsidRDefault="00617918" w:rsidP="00F050A4">
      <w:pPr>
        <w:pStyle w:val="FootnoteText"/>
        <w:jc w:val="both"/>
        <w:rPr>
          <w:lang w:val="nl-BE"/>
        </w:rPr>
      </w:pPr>
      <w:r w:rsidRPr="006F6BF0">
        <w:rPr>
          <w:rStyle w:val="FootnoteReference"/>
          <w:lang w:val="nl-BE"/>
        </w:rPr>
        <w:t>6</w:t>
      </w:r>
      <w:r w:rsidRPr="006F6BF0">
        <w:rPr>
          <w:lang w:val="nl-BE"/>
        </w:rPr>
        <w:t xml:space="preserve"> </w:t>
      </w:r>
      <w:r w:rsidRPr="00F050A4">
        <w:rPr>
          <w:lang w:val="nl-BE"/>
        </w:rPr>
        <w:t xml:space="preserve">Het College van </w:t>
      </w:r>
      <w:r>
        <w:rPr>
          <w:lang w:val="nl-BE"/>
        </w:rPr>
        <w:t>p</w:t>
      </w:r>
      <w:r w:rsidRPr="00F050A4">
        <w:rPr>
          <w:lang w:val="nl-BE"/>
        </w:rPr>
        <w:t>rocureurs-generaal nam het initiatief de minister van Justitie aan te schrijven om zijn aandacht te vestigen op dit vanuit het oogpunt van de uitoefening van de strafvordering zeer problematisch</w:t>
      </w:r>
      <w:r>
        <w:rPr>
          <w:lang w:val="nl-BE"/>
        </w:rPr>
        <w:t>e</w:t>
      </w:r>
      <w:r w:rsidRPr="00F050A4">
        <w:rPr>
          <w:lang w:val="nl-BE"/>
        </w:rPr>
        <w:t xml:space="preserve"> gegeven.</w:t>
      </w:r>
    </w:p>
    <w:p w14:paraId="79A197B7" w14:textId="7D88DB27" w:rsidR="00617918" w:rsidRPr="006F6BF0" w:rsidRDefault="00617918">
      <w:pPr>
        <w:pStyle w:val="FootnoteText"/>
        <w:rPr>
          <w:lang w:val="nl-BE"/>
        </w:rPr>
      </w:pPr>
    </w:p>
  </w:footnote>
  <w:footnote w:id="7">
    <w:p w14:paraId="6AC6407A" w14:textId="6DE1D688" w:rsidR="00617918" w:rsidRPr="00504FD6" w:rsidRDefault="00617918" w:rsidP="009B112A">
      <w:pPr>
        <w:pStyle w:val="FootnoteText"/>
        <w:jc w:val="both"/>
        <w:rPr>
          <w:lang w:val="nl-BE"/>
        </w:rPr>
      </w:pPr>
      <w:r w:rsidRPr="00F050A4">
        <w:rPr>
          <w:rStyle w:val="FootnoteReference"/>
          <w:lang w:val="nl-BE"/>
        </w:rPr>
        <w:t>7</w:t>
      </w:r>
      <w:r w:rsidRPr="00504FD6">
        <w:rPr>
          <w:lang w:val="nl-BE"/>
        </w:rPr>
        <w:t xml:space="preserve"> Hof van </w:t>
      </w:r>
      <w:r>
        <w:rPr>
          <w:lang w:val="nl-BE"/>
        </w:rPr>
        <w:t>beroep Brussel, 14</w:t>
      </w:r>
      <w:r w:rsidRPr="00504FD6">
        <w:rPr>
          <w:vertAlign w:val="superscript"/>
          <w:lang w:val="nl-BE"/>
        </w:rPr>
        <w:t>de</w:t>
      </w:r>
      <w:r>
        <w:rPr>
          <w:lang w:val="nl-BE"/>
        </w:rPr>
        <w:t xml:space="preserve"> kamer,</w:t>
      </w:r>
      <w:r w:rsidRPr="00504FD6">
        <w:rPr>
          <w:lang w:val="nl-BE"/>
        </w:rPr>
        <w:t xml:space="preserve"> 20</w:t>
      </w:r>
      <w:r>
        <w:rPr>
          <w:lang w:val="nl-BE"/>
        </w:rPr>
        <w:t xml:space="preserve"> oktober 20</w:t>
      </w:r>
      <w:r w:rsidRPr="00504FD6">
        <w:rPr>
          <w:lang w:val="nl-BE"/>
        </w:rPr>
        <w:t>21, JLMB 2022/10, p</w:t>
      </w:r>
      <w:r>
        <w:rPr>
          <w:lang w:val="nl-BE"/>
        </w:rPr>
        <w:t xml:space="preserve">agina </w:t>
      </w:r>
      <w:r w:rsidRPr="00504FD6">
        <w:rPr>
          <w:lang w:val="nl-BE"/>
        </w:rPr>
        <w:t>433.</w:t>
      </w:r>
    </w:p>
  </w:footnote>
  <w:footnote w:id="8">
    <w:p w14:paraId="02F8FAE6" w14:textId="172C3288" w:rsidR="00617918" w:rsidRPr="006A1628" w:rsidRDefault="00617918" w:rsidP="009B112A">
      <w:pPr>
        <w:pStyle w:val="FootnoteText"/>
        <w:jc w:val="both"/>
        <w:rPr>
          <w:lang w:val="nl-BE"/>
        </w:rPr>
      </w:pPr>
      <w:r w:rsidRPr="00F050A4">
        <w:rPr>
          <w:rStyle w:val="FootnoteReference"/>
          <w:lang w:val="nl-BE"/>
        </w:rPr>
        <w:t>8</w:t>
      </w:r>
      <w:r w:rsidRPr="006A1628">
        <w:rPr>
          <w:lang w:val="nl-BE"/>
        </w:rPr>
        <w:t xml:space="preserve"> DOC 55 2141/001, pagina 14.</w:t>
      </w:r>
    </w:p>
  </w:footnote>
  <w:footnote w:id="9">
    <w:p w14:paraId="7E681310" w14:textId="6890A80E" w:rsidR="00617918" w:rsidRPr="009C3FDE" w:rsidRDefault="00617918" w:rsidP="009B112A">
      <w:pPr>
        <w:pStyle w:val="FootnoteText"/>
        <w:jc w:val="both"/>
        <w:rPr>
          <w:lang w:val="nl-BE"/>
        </w:rPr>
      </w:pPr>
      <w:r w:rsidRPr="009C3FDE">
        <w:rPr>
          <w:rStyle w:val="FootnoteReference"/>
          <w:lang w:val="nl-BE"/>
        </w:rPr>
        <w:t>9</w:t>
      </w:r>
      <w:r w:rsidRPr="009C3FDE">
        <w:rPr>
          <w:lang w:val="nl-BE"/>
        </w:rPr>
        <w:t xml:space="preserve"> EHRM, 4 december 2003, MC t. Bulgarije.</w:t>
      </w:r>
    </w:p>
  </w:footnote>
  <w:footnote w:id="10">
    <w:p w14:paraId="42A73011" w14:textId="0D00C816" w:rsidR="00617918" w:rsidRPr="003347CD" w:rsidRDefault="00617918" w:rsidP="009B112A">
      <w:pPr>
        <w:pStyle w:val="FootnoteText"/>
        <w:jc w:val="both"/>
        <w:rPr>
          <w:lang w:val="nl-BE"/>
        </w:rPr>
      </w:pPr>
      <w:r w:rsidRPr="00F050A4">
        <w:rPr>
          <w:rStyle w:val="FootnoteReference"/>
          <w:lang w:val="nl-BE"/>
        </w:rPr>
        <w:t>10</w:t>
      </w:r>
      <w:r w:rsidRPr="003347CD">
        <w:rPr>
          <w:lang w:val="nl-BE"/>
        </w:rPr>
        <w:t xml:space="preserve"> </w:t>
      </w:r>
      <w:r w:rsidRPr="003347CD">
        <w:rPr>
          <w:i/>
          <w:iCs/>
          <w:lang w:val="nl-BE"/>
        </w:rPr>
        <w:t>“Avocats.be suggereerde in haar advies om de term “ten nadele van” te vervangen door “misbruik gemaakt van”. Wij zijn van mening dat dit de bewijslast zou verzwaren, hetgeen in deze kwetsbare situaties niet wenselijk is. Om</w:t>
      </w:r>
      <w:r w:rsidRPr="00862E50">
        <w:rPr>
          <w:i/>
          <w:iCs/>
          <w:lang w:val="nl-BE"/>
        </w:rPr>
        <w:t xml:space="preserve"> te </w:t>
      </w:r>
      <w:r w:rsidRPr="003347CD">
        <w:rPr>
          <w:i/>
          <w:iCs/>
          <w:lang w:val="nl-BE"/>
        </w:rPr>
        <w:t>bevestigen dat er geen sprake is van een volledige omkering van de bewijslast, kiezen we nu voor de term: “gebruik maken van</w:t>
      </w:r>
      <w:r>
        <w:rPr>
          <w:i/>
          <w:iCs/>
          <w:lang w:val="nl-BE"/>
        </w:rPr>
        <w:t>.</w:t>
      </w:r>
      <w:r w:rsidRPr="003347CD">
        <w:rPr>
          <w:i/>
          <w:iCs/>
          <w:lang w:val="nl-BE"/>
        </w:rPr>
        <w:t>”</w:t>
      </w:r>
      <w:r w:rsidRPr="003347CD">
        <w:rPr>
          <w:i/>
          <w:lang w:val="nl-BE"/>
        </w:rPr>
        <w:t>,</w:t>
      </w:r>
      <w:r w:rsidRPr="003347CD">
        <w:rPr>
          <w:lang w:val="nl-BE"/>
        </w:rPr>
        <w:t xml:space="preserve"> DOC 55 2141/016, pagina 20.</w:t>
      </w:r>
    </w:p>
  </w:footnote>
  <w:footnote w:id="11">
    <w:p w14:paraId="44BD0346" w14:textId="73ABF886" w:rsidR="00617918" w:rsidRPr="006A1628" w:rsidRDefault="00617918" w:rsidP="009B112A">
      <w:pPr>
        <w:pStyle w:val="FootnoteText"/>
        <w:jc w:val="both"/>
        <w:rPr>
          <w:lang w:val="nl-BE"/>
        </w:rPr>
      </w:pPr>
      <w:r w:rsidRPr="00F050A4">
        <w:rPr>
          <w:rStyle w:val="FootnoteReference"/>
          <w:lang w:val="nl-BE"/>
        </w:rPr>
        <w:t>11</w:t>
      </w:r>
      <w:r w:rsidRPr="006A1628">
        <w:rPr>
          <w:lang w:val="nl-BE"/>
        </w:rPr>
        <w:t xml:space="preserve"> DOC 55 2141/017, pagina’s </w:t>
      </w:r>
      <w:r>
        <w:rPr>
          <w:lang w:val="nl-BE"/>
        </w:rPr>
        <w:t xml:space="preserve">9 </w:t>
      </w:r>
      <w:r w:rsidRPr="006A1628">
        <w:rPr>
          <w:lang w:val="nl-BE"/>
        </w:rPr>
        <w:t>tot 12; DOC 55 2141/016, pagina’s 19 e.v.</w:t>
      </w:r>
    </w:p>
  </w:footnote>
  <w:footnote w:id="12">
    <w:p w14:paraId="0BADDFAE" w14:textId="6686BF26" w:rsidR="00617918" w:rsidRPr="008C40DD" w:rsidRDefault="00617918" w:rsidP="009B112A">
      <w:pPr>
        <w:pStyle w:val="FootnoteText"/>
        <w:jc w:val="both"/>
        <w:rPr>
          <w:lang w:val="nl-BE"/>
        </w:rPr>
      </w:pPr>
      <w:r w:rsidRPr="00F050A4">
        <w:rPr>
          <w:rStyle w:val="FootnoteReference"/>
          <w:lang w:val="nl-BE"/>
        </w:rPr>
        <w:t>12</w:t>
      </w:r>
      <w:r w:rsidRPr="008C40DD">
        <w:rPr>
          <w:lang w:val="nl-BE"/>
        </w:rPr>
        <w:t xml:space="preserve"> DOC 55 2141/001, pagina 17; DOC 55 2141/017, pagina’s 9 e.v. </w:t>
      </w:r>
    </w:p>
  </w:footnote>
  <w:footnote w:id="13">
    <w:p w14:paraId="46D1CFFD" w14:textId="0FDD3D05" w:rsidR="00617918" w:rsidRPr="008C40DD" w:rsidRDefault="00617918" w:rsidP="009B112A">
      <w:pPr>
        <w:pStyle w:val="FootnoteText"/>
        <w:jc w:val="both"/>
        <w:rPr>
          <w:lang w:val="nl-BE"/>
        </w:rPr>
      </w:pPr>
      <w:r w:rsidRPr="00F050A4">
        <w:rPr>
          <w:rStyle w:val="FootnoteReference"/>
          <w:lang w:val="nl-BE"/>
        </w:rPr>
        <w:t>13</w:t>
      </w:r>
      <w:r w:rsidRPr="00EF30AE">
        <w:rPr>
          <w:lang w:val="nl-BE"/>
        </w:rPr>
        <w:t xml:space="preserve"> Gelet op de redactie van deze bepaling is deze voorwaarde van de aantasting van de vrije wil om uit te gaan van de afwezigheid van toestemming ook van toepassing op angst, ziekte, handicap of elke andere oorzaak van kwetsbaarh</w:t>
      </w:r>
      <w:r>
        <w:rPr>
          <w:lang w:val="nl-BE"/>
        </w:rPr>
        <w:t xml:space="preserve">eid. </w:t>
      </w:r>
      <w:r w:rsidRPr="008C40DD">
        <w:rPr>
          <w:lang w:val="nl-BE"/>
        </w:rPr>
        <w:t xml:space="preserve">Het gaat immers om een niet-limitatieve lijst. </w:t>
      </w:r>
    </w:p>
  </w:footnote>
  <w:footnote w:id="14">
    <w:p w14:paraId="76EDB9F8" w14:textId="2EFA33E2" w:rsidR="00617918" w:rsidRPr="006A1628" w:rsidRDefault="00617918" w:rsidP="009B112A">
      <w:pPr>
        <w:pStyle w:val="FootnoteText"/>
        <w:jc w:val="both"/>
        <w:rPr>
          <w:lang w:val="nl-BE"/>
        </w:rPr>
      </w:pPr>
      <w:r w:rsidRPr="00F050A4">
        <w:rPr>
          <w:rStyle w:val="FootnoteReference"/>
          <w:lang w:val="nl-BE"/>
        </w:rPr>
        <w:t>14</w:t>
      </w:r>
      <w:r w:rsidRPr="006A1628">
        <w:rPr>
          <w:lang w:val="nl-BE"/>
        </w:rPr>
        <w:t xml:space="preserve"> DOC 55 2141/001, pagina 17 en DOC 55 2141/016, pagina’s </w:t>
      </w:r>
      <w:r>
        <w:rPr>
          <w:lang w:val="nl-BE"/>
        </w:rPr>
        <w:t>1</w:t>
      </w:r>
      <w:r w:rsidRPr="006A1628">
        <w:rPr>
          <w:lang w:val="nl-BE"/>
        </w:rPr>
        <w:t>9 e.v.</w:t>
      </w:r>
    </w:p>
  </w:footnote>
  <w:footnote w:id="15">
    <w:p w14:paraId="3B02DDEE" w14:textId="57E5871A" w:rsidR="00617918" w:rsidRPr="00EF30AE" w:rsidRDefault="00617918" w:rsidP="009B112A">
      <w:pPr>
        <w:pStyle w:val="FootnoteText"/>
        <w:jc w:val="both"/>
        <w:rPr>
          <w:lang w:val="nl-BE"/>
        </w:rPr>
      </w:pPr>
      <w:r w:rsidRPr="00F050A4">
        <w:rPr>
          <w:rStyle w:val="FootnoteReference"/>
          <w:lang w:val="nl-BE"/>
        </w:rPr>
        <w:t>15</w:t>
      </w:r>
      <w:r w:rsidRPr="00EF30AE">
        <w:rPr>
          <w:lang w:val="nl-BE"/>
        </w:rPr>
        <w:t xml:space="preserve"> Handeling waarbij het voorbehoedsmiddel verwijderd én de seksuele handeling </w:t>
      </w:r>
      <w:r>
        <w:rPr>
          <w:lang w:val="nl-BE"/>
        </w:rPr>
        <w:t xml:space="preserve">voortgezet </w:t>
      </w:r>
      <w:r w:rsidRPr="00EF30AE">
        <w:rPr>
          <w:lang w:val="nl-BE"/>
        </w:rPr>
        <w:t>word</w:t>
      </w:r>
      <w:r>
        <w:rPr>
          <w:lang w:val="nl-BE"/>
        </w:rPr>
        <w:t>en</w:t>
      </w:r>
      <w:r w:rsidRPr="00EF30AE">
        <w:rPr>
          <w:lang w:val="nl-BE"/>
        </w:rPr>
        <w:t xml:space="preserve"> zonder toestemming van de partner.</w:t>
      </w:r>
    </w:p>
  </w:footnote>
  <w:footnote w:id="16">
    <w:p w14:paraId="52481F7C" w14:textId="40A89749" w:rsidR="00617918" w:rsidRPr="008C40DD" w:rsidRDefault="00617918" w:rsidP="009B112A">
      <w:pPr>
        <w:pStyle w:val="FootnoteText"/>
        <w:jc w:val="both"/>
        <w:rPr>
          <w:lang w:val="nl-BE"/>
        </w:rPr>
      </w:pPr>
      <w:r w:rsidRPr="00F050A4">
        <w:rPr>
          <w:rStyle w:val="FootnoteReference"/>
          <w:lang w:val="nl-BE"/>
        </w:rPr>
        <w:t>16</w:t>
      </w:r>
      <w:r w:rsidRPr="008C40DD">
        <w:rPr>
          <w:lang w:val="nl-BE"/>
        </w:rPr>
        <w:t xml:space="preserve"> DOC 55 2141/001, pagina’s 19 en 27.</w:t>
      </w:r>
    </w:p>
  </w:footnote>
  <w:footnote w:id="17">
    <w:p w14:paraId="3F250693" w14:textId="6BF0B47F" w:rsidR="00617918" w:rsidRPr="00180024" w:rsidRDefault="00617918" w:rsidP="009B112A">
      <w:pPr>
        <w:pStyle w:val="FootnoteText"/>
        <w:jc w:val="both"/>
        <w:rPr>
          <w:lang w:val="nl-BE"/>
        </w:rPr>
      </w:pPr>
      <w:r w:rsidRPr="00F050A4">
        <w:rPr>
          <w:rStyle w:val="FootnoteReference"/>
          <w:lang w:val="nl-BE"/>
        </w:rPr>
        <w:t>17</w:t>
      </w:r>
      <w:r w:rsidRPr="00180024">
        <w:rPr>
          <w:lang w:val="nl-BE"/>
        </w:rPr>
        <w:t xml:space="preserve"> De mogelijkheid van </w:t>
      </w:r>
      <w:r>
        <w:rPr>
          <w:lang w:val="nl-BE"/>
        </w:rPr>
        <w:t>‘</w:t>
      </w:r>
      <w:r w:rsidRPr="00180024">
        <w:rPr>
          <w:lang w:val="nl-BE"/>
        </w:rPr>
        <w:t>primaire sexting</w:t>
      </w:r>
      <w:r>
        <w:rPr>
          <w:lang w:val="nl-BE"/>
        </w:rPr>
        <w:t>’</w:t>
      </w:r>
      <w:r w:rsidRPr="00180024">
        <w:rPr>
          <w:lang w:val="nl-BE"/>
        </w:rPr>
        <w:t xml:space="preserve"> wordt evenwel niet erkend voor minderjarigen die de leeftijd van 16 jaar bereikt hebben en van wie de partner meerderjarig is (zie analyse van artikel 417/49).</w:t>
      </w:r>
    </w:p>
  </w:footnote>
  <w:footnote w:id="18">
    <w:p w14:paraId="7F60EC0F" w14:textId="627F9CCB" w:rsidR="00617918" w:rsidRPr="0049140C" w:rsidRDefault="00617918" w:rsidP="009B112A">
      <w:pPr>
        <w:pStyle w:val="FootnoteText"/>
        <w:jc w:val="both"/>
        <w:rPr>
          <w:lang w:val="nl-BE"/>
        </w:rPr>
      </w:pPr>
      <w:r w:rsidRPr="00F050A4">
        <w:rPr>
          <w:rStyle w:val="FootnoteReference"/>
          <w:lang w:val="nl-BE"/>
        </w:rPr>
        <w:t>18</w:t>
      </w:r>
      <w:r w:rsidRPr="0049140C">
        <w:rPr>
          <w:lang w:val="nl-BE"/>
        </w:rPr>
        <w:t xml:space="preserve"> Ondanks het advies van het College werd de ongelukkig gekozen formu</w:t>
      </w:r>
      <w:r>
        <w:rPr>
          <w:lang w:val="nl-BE"/>
        </w:rPr>
        <w:t>l</w:t>
      </w:r>
      <w:r w:rsidRPr="0049140C">
        <w:rPr>
          <w:lang w:val="nl-BE"/>
        </w:rPr>
        <w:t xml:space="preserve">ering </w:t>
      </w:r>
      <w:r>
        <w:rPr>
          <w:lang w:val="nl-BE"/>
        </w:rPr>
        <w:t>“</w:t>
      </w:r>
      <w:r w:rsidRPr="0049140C">
        <w:rPr>
          <w:lang w:val="nl-BE"/>
        </w:rPr>
        <w:t>werd niet</w:t>
      </w:r>
      <w:r>
        <w:rPr>
          <w:lang w:val="nl-BE"/>
        </w:rPr>
        <w:t xml:space="preserve"> geacht” behouden. </w:t>
      </w:r>
      <w:r w:rsidRPr="0049140C">
        <w:rPr>
          <w:lang w:val="nl-BE"/>
        </w:rPr>
        <w:t xml:space="preserve">Het is niettemin de intentie van de wetgever om </w:t>
      </w:r>
      <w:r>
        <w:rPr>
          <w:lang w:val="nl-BE"/>
        </w:rPr>
        <w:t xml:space="preserve">uit te gaan van </w:t>
      </w:r>
      <w:r w:rsidRPr="0049140C">
        <w:rPr>
          <w:lang w:val="nl-BE"/>
        </w:rPr>
        <w:t xml:space="preserve">een onweerlegbaar vermoeden van </w:t>
      </w:r>
      <w:r>
        <w:rPr>
          <w:lang w:val="nl-BE"/>
        </w:rPr>
        <w:t xml:space="preserve">niet-toestemming door een minderjarige jonger dan 16 jaar, behoudens in de vermelde uitzonderingen </w:t>
      </w:r>
      <w:r w:rsidRPr="0049140C">
        <w:rPr>
          <w:lang w:val="nl-BE"/>
        </w:rPr>
        <w:t>(DOC 55 2141/001, pagina 13).</w:t>
      </w:r>
    </w:p>
  </w:footnote>
  <w:footnote w:id="19">
    <w:p w14:paraId="1CA24EB0" w14:textId="1970315B" w:rsidR="00617918" w:rsidRPr="00590DC2" w:rsidRDefault="00617918" w:rsidP="009B112A">
      <w:pPr>
        <w:pStyle w:val="FootnoteText"/>
        <w:jc w:val="both"/>
        <w:rPr>
          <w:lang w:val="nl-BE"/>
        </w:rPr>
      </w:pPr>
      <w:r w:rsidRPr="00F050A4">
        <w:rPr>
          <w:rStyle w:val="FootnoteReference"/>
          <w:lang w:val="nl-BE"/>
        </w:rPr>
        <w:t>19</w:t>
      </w:r>
      <w:r w:rsidRPr="00590DC2">
        <w:rPr>
          <w:lang w:val="nl-BE"/>
        </w:rPr>
        <w:t xml:space="preserve"> De minderjarigheid van het slachtoffer wordt eveneens geanalyseerd vanuit het oogpunt van een verzwarende om</w:t>
      </w:r>
      <w:r>
        <w:rPr>
          <w:lang w:val="nl-BE"/>
        </w:rPr>
        <w:t>standigheid (zie analyse van de artikelen</w:t>
      </w:r>
      <w:r w:rsidRPr="00590DC2">
        <w:rPr>
          <w:lang w:val="nl-BE"/>
        </w:rPr>
        <w:t xml:space="preserve"> 417/16 e</w:t>
      </w:r>
      <w:r>
        <w:rPr>
          <w:lang w:val="nl-BE"/>
        </w:rPr>
        <w:t>n</w:t>
      </w:r>
      <w:r w:rsidRPr="00590DC2">
        <w:rPr>
          <w:lang w:val="nl-BE"/>
        </w:rPr>
        <w:t xml:space="preserve"> 417/17).</w:t>
      </w:r>
    </w:p>
  </w:footnote>
  <w:footnote w:id="20">
    <w:p w14:paraId="5D40F039" w14:textId="0F2317FB" w:rsidR="00617918" w:rsidRPr="00FD7A1C" w:rsidRDefault="00617918" w:rsidP="009B112A">
      <w:pPr>
        <w:pStyle w:val="FootnoteText"/>
        <w:jc w:val="both"/>
        <w:rPr>
          <w:b/>
          <w:lang w:val="nl-BE"/>
        </w:rPr>
      </w:pPr>
      <w:r w:rsidRPr="0074412A">
        <w:rPr>
          <w:rStyle w:val="FootnoteReference"/>
          <w:lang w:val="nl-BE"/>
        </w:rPr>
        <w:t>20</w:t>
      </w:r>
      <w:r w:rsidRPr="00920D83">
        <w:rPr>
          <w:lang w:val="nl-BE"/>
        </w:rPr>
        <w:t xml:space="preserve"> </w:t>
      </w:r>
      <w:r w:rsidRPr="00920D83">
        <w:rPr>
          <w:b/>
          <w:lang w:val="nl-BE"/>
        </w:rPr>
        <w:t xml:space="preserve">Hoewel het uitgangspunt van de deskundigen die deze </w:t>
      </w:r>
      <w:r w:rsidRPr="004E4270">
        <w:rPr>
          <w:b/>
          <w:lang w:val="nl-BE"/>
        </w:rPr>
        <w:t xml:space="preserve">tekst  hebben voorbereid erin </w:t>
      </w:r>
      <w:r w:rsidRPr="00920D83">
        <w:rPr>
          <w:b/>
          <w:lang w:val="nl-BE"/>
        </w:rPr>
        <w:t xml:space="preserve">bestond om dit leeftijdsverschil te berekenen door het aantal door beide partners </w:t>
      </w:r>
      <w:r>
        <w:rPr>
          <w:b/>
          <w:lang w:val="nl-BE"/>
        </w:rPr>
        <w:t>voltooide</w:t>
      </w:r>
      <w:r w:rsidRPr="00920D83">
        <w:rPr>
          <w:b/>
          <w:lang w:val="nl-BE"/>
        </w:rPr>
        <w:t xml:space="preserve"> jaren te vergelijken </w:t>
      </w:r>
      <w:r>
        <w:rPr>
          <w:b/>
          <w:lang w:val="nl-BE"/>
        </w:rPr>
        <w:t>op basis van</w:t>
      </w:r>
      <w:r w:rsidRPr="00920D83">
        <w:rPr>
          <w:b/>
          <w:lang w:val="nl-BE"/>
        </w:rPr>
        <w:t xml:space="preserve"> </w:t>
      </w:r>
      <w:r w:rsidRPr="004E4270">
        <w:rPr>
          <w:b/>
          <w:lang w:val="nl-BE"/>
        </w:rPr>
        <w:t xml:space="preserve">hun respectievelijke geboortejaar </w:t>
      </w:r>
      <w:r w:rsidRPr="00920D83">
        <w:rPr>
          <w:b/>
          <w:lang w:val="nl-BE"/>
        </w:rPr>
        <w:t>(DOC 55 2141/006, pagina 348), l</w:t>
      </w:r>
      <w:r>
        <w:rPr>
          <w:b/>
          <w:lang w:val="nl-BE"/>
        </w:rPr>
        <w:t xml:space="preserve">ijkt de invoering van dit tweede correctiemechanisme bij de eerste lezing van de tekst te impliceren dat er hierbij ook rekening met ‘gedeeltelijke’ jaren gehouden kan worden. </w:t>
      </w:r>
      <w:r w:rsidRPr="00920D83">
        <w:rPr>
          <w:b/>
          <w:lang w:val="nl-BE"/>
        </w:rPr>
        <w:t>De hypothese van een leeftijd</w:t>
      </w:r>
      <w:r>
        <w:rPr>
          <w:b/>
          <w:lang w:val="nl-BE"/>
        </w:rPr>
        <w:t>s</w:t>
      </w:r>
      <w:r w:rsidRPr="00920D83">
        <w:rPr>
          <w:b/>
          <w:lang w:val="nl-BE"/>
        </w:rPr>
        <w:t xml:space="preserve">verschil van meer dan drie jaar tussen minderjarigen die minimaal de leeftijd van 14 jaar bereikt </w:t>
      </w:r>
      <w:r>
        <w:rPr>
          <w:b/>
          <w:lang w:val="nl-BE"/>
        </w:rPr>
        <w:t xml:space="preserve">hebben, is immers onmogelijk op grond van de eerste methode, terwijl dit leeftijdsverschil toch mogelijk is wanneer rekening gehouden wordt met de situatie van een minderjarige van 14 jaar die een relatie heeft met een minderjarige van </w:t>
      </w:r>
      <w:r w:rsidRPr="00920D83">
        <w:rPr>
          <w:b/>
          <w:u w:val="single"/>
          <w:lang w:val="nl-BE"/>
        </w:rPr>
        <w:t>17,5 jaar</w:t>
      </w:r>
      <w:r>
        <w:rPr>
          <w:b/>
          <w:lang w:val="nl-BE"/>
        </w:rPr>
        <w:t xml:space="preserve">. </w:t>
      </w:r>
      <w:r w:rsidRPr="00FD7A1C">
        <w:rPr>
          <w:b/>
          <w:lang w:val="nl-BE"/>
        </w:rPr>
        <w:t>De parlementsleden haalden overigens dit voorbeeld aan om dit bijkomende correctiemecha</w:t>
      </w:r>
      <w:r>
        <w:rPr>
          <w:b/>
          <w:lang w:val="nl-BE"/>
        </w:rPr>
        <w:t>n</w:t>
      </w:r>
      <w:r w:rsidRPr="00FD7A1C">
        <w:rPr>
          <w:b/>
          <w:lang w:val="nl-BE"/>
        </w:rPr>
        <w:t>isme te verantwoorden (DOC 55 2141/006, pagina 59).</w:t>
      </w:r>
    </w:p>
  </w:footnote>
  <w:footnote w:id="21">
    <w:p w14:paraId="233ED15E" w14:textId="407C9A54" w:rsidR="00617918" w:rsidRPr="00FD7A1C" w:rsidRDefault="00617918" w:rsidP="009B112A">
      <w:pPr>
        <w:pStyle w:val="FootnoteText"/>
        <w:jc w:val="both"/>
        <w:rPr>
          <w:lang w:val="nl-BE"/>
        </w:rPr>
      </w:pPr>
      <w:r w:rsidRPr="0074412A">
        <w:rPr>
          <w:rStyle w:val="FootnoteReference"/>
          <w:lang w:val="nl-BE"/>
        </w:rPr>
        <w:t>21</w:t>
      </w:r>
      <w:r w:rsidRPr="00FD7A1C">
        <w:rPr>
          <w:lang w:val="nl-BE"/>
        </w:rPr>
        <w:t xml:space="preserve"> </w:t>
      </w:r>
      <w:r w:rsidRPr="00180024">
        <w:rPr>
          <w:lang w:val="nl-BE"/>
        </w:rPr>
        <w:t xml:space="preserve">De mogelijkheid van </w:t>
      </w:r>
      <w:r>
        <w:rPr>
          <w:lang w:val="nl-BE"/>
        </w:rPr>
        <w:t>‘</w:t>
      </w:r>
      <w:r w:rsidRPr="00180024">
        <w:rPr>
          <w:lang w:val="nl-BE"/>
        </w:rPr>
        <w:t>primaire sexting</w:t>
      </w:r>
      <w:r>
        <w:rPr>
          <w:lang w:val="nl-BE"/>
        </w:rPr>
        <w:t>’</w:t>
      </w:r>
      <w:r w:rsidRPr="00180024">
        <w:rPr>
          <w:lang w:val="nl-BE"/>
        </w:rPr>
        <w:t xml:space="preserve"> wordt evenwel niet erkend voor minderjarigen die de leeftijd van 1</w:t>
      </w:r>
      <w:r>
        <w:rPr>
          <w:lang w:val="nl-BE"/>
        </w:rPr>
        <w:t>4</w:t>
      </w:r>
      <w:r w:rsidRPr="00180024">
        <w:rPr>
          <w:lang w:val="nl-BE"/>
        </w:rPr>
        <w:t xml:space="preserve"> jaar bereikt</w:t>
      </w:r>
      <w:r>
        <w:rPr>
          <w:lang w:val="nl-BE"/>
        </w:rPr>
        <w:t xml:space="preserve"> hebben, maar wel voor de leeftijd van 16 jaar</w:t>
      </w:r>
      <w:r w:rsidRPr="00180024">
        <w:rPr>
          <w:lang w:val="nl-BE"/>
        </w:rPr>
        <w:t xml:space="preserve"> (zie analyse van artikel 417/49)</w:t>
      </w:r>
      <w:r w:rsidRPr="00FD7A1C">
        <w:rPr>
          <w:lang w:val="nl-BE"/>
        </w:rPr>
        <w:t>.</w:t>
      </w:r>
    </w:p>
  </w:footnote>
  <w:footnote w:id="22">
    <w:p w14:paraId="5CBE5A71" w14:textId="69EA2273" w:rsidR="00617918" w:rsidRPr="00857BB7" w:rsidRDefault="00617918" w:rsidP="009B112A">
      <w:pPr>
        <w:pStyle w:val="FootnoteText"/>
        <w:jc w:val="both"/>
        <w:rPr>
          <w:lang w:val="nl-BE"/>
        </w:rPr>
      </w:pPr>
      <w:r w:rsidRPr="0074412A">
        <w:rPr>
          <w:rStyle w:val="FootnoteReference"/>
          <w:lang w:val="nl-BE"/>
        </w:rPr>
        <w:t>22</w:t>
      </w:r>
      <w:r w:rsidRPr="00FD7A1C">
        <w:rPr>
          <w:lang w:val="nl-BE"/>
        </w:rPr>
        <w:t xml:space="preserve"> </w:t>
      </w:r>
      <w:r w:rsidRPr="0049140C">
        <w:rPr>
          <w:lang w:val="nl-BE"/>
        </w:rPr>
        <w:t>Ondanks het advies van het College werd de ongelukkig gekozen formu</w:t>
      </w:r>
      <w:r>
        <w:rPr>
          <w:lang w:val="nl-BE"/>
        </w:rPr>
        <w:t>l</w:t>
      </w:r>
      <w:r w:rsidRPr="0049140C">
        <w:rPr>
          <w:lang w:val="nl-BE"/>
        </w:rPr>
        <w:t xml:space="preserve">ering </w:t>
      </w:r>
      <w:r>
        <w:rPr>
          <w:lang w:val="nl-BE"/>
        </w:rPr>
        <w:t>“</w:t>
      </w:r>
      <w:r w:rsidRPr="0049140C">
        <w:rPr>
          <w:lang w:val="nl-BE"/>
        </w:rPr>
        <w:t>werd niet</w:t>
      </w:r>
      <w:r>
        <w:rPr>
          <w:lang w:val="nl-BE"/>
        </w:rPr>
        <w:t xml:space="preserve"> geacht” behouden. </w:t>
      </w:r>
      <w:r w:rsidRPr="00857BB7">
        <w:rPr>
          <w:lang w:val="nl-BE"/>
        </w:rPr>
        <w:t xml:space="preserve">In de memorie van toelichting is sprake van </w:t>
      </w:r>
      <w:r>
        <w:rPr>
          <w:lang w:val="nl-BE"/>
        </w:rPr>
        <w:t>“</w:t>
      </w:r>
      <w:r w:rsidRPr="00857BB7">
        <w:rPr>
          <w:lang w:val="nl-BE"/>
        </w:rPr>
        <w:t>beper</w:t>
      </w:r>
      <w:r>
        <w:rPr>
          <w:lang w:val="nl-BE"/>
        </w:rPr>
        <w:t>kingen van de mogelijkheid tot toestemming” en, in bepaalde gevallen, “</w:t>
      </w:r>
      <w:r w:rsidRPr="00857BB7">
        <w:rPr>
          <w:lang w:val="nl-BE"/>
        </w:rPr>
        <w:t>een strengere regeling in de toes</w:t>
      </w:r>
      <w:r>
        <w:rPr>
          <w:lang w:val="nl-BE"/>
        </w:rPr>
        <w:t>t</w:t>
      </w:r>
      <w:r w:rsidRPr="00857BB7">
        <w:rPr>
          <w:lang w:val="nl-BE"/>
        </w:rPr>
        <w:t>emmingspre</w:t>
      </w:r>
      <w:r>
        <w:rPr>
          <w:lang w:val="nl-BE"/>
        </w:rPr>
        <w:t>m</w:t>
      </w:r>
      <w:r w:rsidRPr="00857BB7">
        <w:rPr>
          <w:lang w:val="nl-BE"/>
        </w:rPr>
        <w:t>isse</w:t>
      </w:r>
      <w:r>
        <w:rPr>
          <w:lang w:val="nl-BE"/>
        </w:rPr>
        <w:t xml:space="preserve">”. </w:t>
      </w:r>
      <w:r w:rsidRPr="00857BB7">
        <w:rPr>
          <w:lang w:val="nl-BE"/>
        </w:rPr>
        <w:t>Deze bepaling lijkt geïnterpreteerd te moeten worden als</w:t>
      </w:r>
      <w:r>
        <w:rPr>
          <w:lang w:val="nl-BE"/>
        </w:rPr>
        <w:t xml:space="preserve"> </w:t>
      </w:r>
      <w:r w:rsidRPr="00857BB7">
        <w:rPr>
          <w:lang w:val="nl-BE"/>
        </w:rPr>
        <w:t>een onweerlegbaar vermoeden van de afwe</w:t>
      </w:r>
      <w:r>
        <w:rPr>
          <w:lang w:val="nl-BE"/>
        </w:rPr>
        <w:t>zigheid van toestemming door de minderjarige in alle bedoelde gevallen.</w:t>
      </w:r>
    </w:p>
  </w:footnote>
  <w:footnote w:id="23">
    <w:p w14:paraId="4E74A331" w14:textId="1FAB658D" w:rsidR="00617918" w:rsidRPr="00AD7633" w:rsidRDefault="00617918" w:rsidP="009B112A">
      <w:pPr>
        <w:pStyle w:val="FootnoteText"/>
        <w:jc w:val="both"/>
        <w:rPr>
          <w:lang w:val="nl-BE"/>
        </w:rPr>
      </w:pPr>
      <w:r w:rsidRPr="0074412A">
        <w:rPr>
          <w:rStyle w:val="FootnoteReference"/>
          <w:lang w:val="nl-BE"/>
        </w:rPr>
        <w:t>23</w:t>
      </w:r>
      <w:r w:rsidRPr="00AD7633">
        <w:rPr>
          <w:lang w:val="nl-BE"/>
        </w:rPr>
        <w:t xml:space="preserve"> Wanneer de dader broer</w:t>
      </w:r>
      <w:r>
        <w:rPr>
          <w:lang w:val="nl-BE"/>
        </w:rPr>
        <w:t xml:space="preserve"> </w:t>
      </w:r>
      <w:r w:rsidRPr="00AD7633">
        <w:rPr>
          <w:lang w:val="nl-BE"/>
        </w:rPr>
        <w:t>of zuster, oom</w:t>
      </w:r>
      <w:r>
        <w:rPr>
          <w:lang w:val="nl-BE"/>
        </w:rPr>
        <w:t xml:space="preserve"> </w:t>
      </w:r>
      <w:r w:rsidRPr="00AD7633">
        <w:rPr>
          <w:lang w:val="nl-BE"/>
        </w:rPr>
        <w:t>of tante, neef of nicht van het slachtoffer is.</w:t>
      </w:r>
    </w:p>
  </w:footnote>
  <w:footnote w:id="24">
    <w:p w14:paraId="507849A7" w14:textId="1DBDC7EA" w:rsidR="00617918" w:rsidRPr="00143762" w:rsidRDefault="00617918" w:rsidP="009B112A">
      <w:pPr>
        <w:pStyle w:val="FootnoteText"/>
        <w:jc w:val="both"/>
        <w:rPr>
          <w:lang w:val="nl-BE"/>
        </w:rPr>
      </w:pPr>
      <w:r w:rsidRPr="0074412A">
        <w:rPr>
          <w:rStyle w:val="FootnoteReference"/>
          <w:lang w:val="nl-BE"/>
        </w:rPr>
        <w:t>24</w:t>
      </w:r>
      <w:r w:rsidRPr="00B84C85">
        <w:rPr>
          <w:lang w:val="nl-BE"/>
        </w:rPr>
        <w:t xml:space="preserve"> Artikel 372, lid 2 van het Strafwetboek</w:t>
      </w:r>
      <w:r w:rsidRPr="002E6324">
        <w:rPr>
          <w:i/>
          <w:iCs/>
          <w:lang w:val="nl-BE"/>
        </w:rPr>
        <w:t xml:space="preserve">: </w:t>
      </w:r>
      <w:r w:rsidRPr="002E6324">
        <w:rPr>
          <w:i/>
          <w:iCs/>
          <w:color w:val="000000"/>
          <w:lang w:val="nl-BE"/>
        </w:rPr>
        <w:t>(De aanranding van de eerbaarheid, zonder geweld of bedreiging door een bloedverwant in de opgaande lijn of adoptant gepleegd op de persoon of met behulp van de persoon van een minderjarige, zelfs indien deze de volle leeftijd van zestien jaar heeft bereikt [</w:t>
      </w:r>
      <w:hyperlink r:id="rId1" w:anchor="t" w:tooltip="&lt;W 2016-05-31/02, art. 3, 118; Inwerkingtreding : 18-06-2016&gt;" w:history="1">
        <w:r w:rsidRPr="002E6324">
          <w:rPr>
            <w:rStyle w:val="Hyperlink"/>
            <w:i/>
            <w:iCs/>
            <w:color w:val="FF0000"/>
            <w:vertAlign w:val="superscript"/>
            <w:lang w:val="nl-BE"/>
          </w:rPr>
          <w:t>1</w:t>
        </w:r>
      </w:hyperlink>
      <w:r w:rsidRPr="002E6324">
        <w:rPr>
          <w:i/>
          <w:iCs/>
          <w:color w:val="000000"/>
          <w:lang w:val="nl-BE"/>
        </w:rPr>
        <w:t> ...]</w:t>
      </w:r>
      <w:hyperlink r:id="rId2" w:anchor="t" w:tooltip="&lt;W 2016-05-31/02, art. 3, 118; Inwerkingtreding : 18-06-2016&gt;" w:history="1">
        <w:r w:rsidRPr="002E6324">
          <w:rPr>
            <w:rStyle w:val="Hyperlink"/>
            <w:i/>
            <w:iCs/>
            <w:color w:val="FF0000"/>
            <w:vertAlign w:val="superscript"/>
            <w:lang w:val="nl-BE"/>
          </w:rPr>
          <w:t>1</w:t>
        </w:r>
      </w:hyperlink>
      <w:r w:rsidRPr="002E6324">
        <w:rPr>
          <w:i/>
          <w:iCs/>
          <w:color w:val="000000"/>
          <w:lang w:val="nl-BE"/>
        </w:rPr>
        <w:t>, wordt gestraft met opsluiting van tien jaar tot vijftien jaar. Dezelfde straf wordt toegepast indien de schuldige hetzij de broer of de zus van het minderjarige slachtoffer is of ieder ander persoon die een soortgelijke positie heeft in het gezin, hetzij onverschillig welke persoon die gewoonlijk of occasioneel met het slachtoffer samenwoont en die over dat slachtoffer gezag heeft.) &lt;W 2000-11-28/35, art. 6, 029; Inwerkingtreding  27-03-2001&gt;</w:t>
      </w:r>
    </w:p>
  </w:footnote>
  <w:footnote w:id="25">
    <w:p w14:paraId="240822D3" w14:textId="3EB0180B" w:rsidR="00617918" w:rsidRPr="00C16244" w:rsidRDefault="00617918" w:rsidP="009B112A">
      <w:pPr>
        <w:pStyle w:val="FootnoteText"/>
        <w:jc w:val="both"/>
        <w:rPr>
          <w:rFonts w:cstheme="minorHAnsi"/>
          <w:lang w:val="nl-BE"/>
        </w:rPr>
      </w:pPr>
      <w:r w:rsidRPr="0074412A">
        <w:rPr>
          <w:rStyle w:val="FootnoteReference"/>
          <w:lang w:val="nl-BE"/>
        </w:rPr>
        <w:t>25</w:t>
      </w:r>
      <w:r w:rsidRPr="00C16244">
        <w:rPr>
          <w:lang w:val="nl-BE"/>
        </w:rPr>
        <w:t xml:space="preserve"> EU-richtlijn 2011/93/E</w:t>
      </w:r>
      <w:r>
        <w:rPr>
          <w:lang w:val="nl-BE"/>
        </w:rPr>
        <w:t>U</w:t>
      </w:r>
      <w:r w:rsidRPr="00C16244">
        <w:rPr>
          <w:lang w:val="nl-BE"/>
        </w:rPr>
        <w:t xml:space="preserve"> van 13 december 2011 </w:t>
      </w:r>
      <w:r w:rsidRPr="00C16244">
        <w:rPr>
          <w:rFonts w:cstheme="minorHAnsi"/>
          <w:color w:val="333333"/>
          <w:shd w:val="clear" w:color="auto" w:fill="FFFFFF"/>
          <w:lang w:val="nl-BE"/>
        </w:rPr>
        <w:t>ter bestrijding van seksueel misbruik en seksuele uitbuiting van kinderen en kinderpornografie, en ter vervanging van Kaderbesluit 2004/68/JBZ van de Raad</w:t>
      </w:r>
      <w:r w:rsidRPr="00C16244">
        <w:rPr>
          <w:rFonts w:cstheme="minorHAnsi"/>
          <w:lang w:val="nl-BE"/>
        </w:rPr>
        <w:t>.</w:t>
      </w:r>
    </w:p>
  </w:footnote>
  <w:footnote w:id="26">
    <w:p w14:paraId="081FB63A" w14:textId="0A197EE2" w:rsidR="00617918" w:rsidRPr="006A1628" w:rsidRDefault="00617918" w:rsidP="009B112A">
      <w:pPr>
        <w:pStyle w:val="FootnoteText"/>
        <w:jc w:val="both"/>
        <w:rPr>
          <w:lang w:val="nl-BE"/>
        </w:rPr>
      </w:pPr>
      <w:r w:rsidRPr="0074412A">
        <w:rPr>
          <w:rStyle w:val="FootnoteReference"/>
          <w:lang w:val="nl-BE"/>
        </w:rPr>
        <w:t>26</w:t>
      </w:r>
      <w:r w:rsidRPr="006A1628">
        <w:rPr>
          <w:lang w:val="nl-BE"/>
        </w:rPr>
        <w:t xml:space="preserve"> DOC 55 2141/001, pagina 13.</w:t>
      </w:r>
    </w:p>
  </w:footnote>
  <w:footnote w:id="27">
    <w:p w14:paraId="6920962C" w14:textId="2268B7B0" w:rsidR="00617918" w:rsidRPr="004549A8" w:rsidRDefault="00617918" w:rsidP="009B112A">
      <w:pPr>
        <w:pStyle w:val="FootnoteText"/>
        <w:jc w:val="both"/>
        <w:rPr>
          <w:lang w:val="nl-BE"/>
        </w:rPr>
      </w:pPr>
      <w:r w:rsidRPr="0074412A">
        <w:rPr>
          <w:rStyle w:val="FootnoteReference"/>
          <w:lang w:val="nl-BE"/>
        </w:rPr>
        <w:t>27</w:t>
      </w:r>
      <w:r w:rsidRPr="006A1628">
        <w:rPr>
          <w:lang w:val="nl-BE"/>
        </w:rPr>
        <w:t xml:space="preserve"> DOC 55 2141/006, pagina 42 en pagina’s 57 tot 60. </w:t>
      </w:r>
      <w:r w:rsidRPr="00F90944">
        <w:rPr>
          <w:lang w:val="nl-BE"/>
        </w:rPr>
        <w:t>Opnieuw dient vastgesteld te worden dat de parlementaire besprekingen, in tegenstelling tot de wetsbepaling zelf, niet duidelijk zijn: het is wel degelijk het misbruik van deze positie door de dader die beoogd wordt, en niet het louter bestaa</w:t>
      </w:r>
      <w:r>
        <w:rPr>
          <w:lang w:val="nl-BE"/>
        </w:rPr>
        <w:t xml:space="preserve">n van deze positie. </w:t>
      </w:r>
    </w:p>
  </w:footnote>
  <w:footnote w:id="28">
    <w:p w14:paraId="56B4C813" w14:textId="5A3100F0" w:rsidR="00617918" w:rsidRPr="00143762" w:rsidRDefault="00617918" w:rsidP="009B112A">
      <w:pPr>
        <w:pStyle w:val="FootnoteText"/>
        <w:jc w:val="both"/>
        <w:rPr>
          <w:lang w:val="nl-BE"/>
        </w:rPr>
      </w:pPr>
      <w:r w:rsidRPr="00F21922">
        <w:rPr>
          <w:rStyle w:val="FootnoteReference"/>
          <w:lang w:val="nl-BE"/>
        </w:rPr>
        <w:t>28</w:t>
      </w:r>
      <w:r w:rsidRPr="00143762">
        <w:rPr>
          <w:lang w:val="nl-BE"/>
        </w:rPr>
        <w:t xml:space="preserve"> DOC 55 2141/017, pagina 13.</w:t>
      </w:r>
    </w:p>
  </w:footnote>
  <w:footnote w:id="29">
    <w:p w14:paraId="4CD0A6A1" w14:textId="176FDE64" w:rsidR="00617918" w:rsidRPr="00143762" w:rsidRDefault="00617918" w:rsidP="009B112A">
      <w:pPr>
        <w:pStyle w:val="FootnoteText"/>
        <w:jc w:val="both"/>
        <w:rPr>
          <w:lang w:val="nl-BE"/>
        </w:rPr>
      </w:pPr>
      <w:r w:rsidRPr="00F21922">
        <w:rPr>
          <w:rStyle w:val="FootnoteReference"/>
          <w:lang w:val="nl-BE"/>
        </w:rPr>
        <w:t>29</w:t>
      </w:r>
      <w:r w:rsidRPr="00143762">
        <w:rPr>
          <w:lang w:val="nl-BE"/>
        </w:rPr>
        <w:t xml:space="preserve"> DOC 55 2141/001, pagina 22.</w:t>
      </w:r>
    </w:p>
  </w:footnote>
  <w:footnote w:id="30">
    <w:p w14:paraId="189586C2" w14:textId="5A131E43" w:rsidR="00617918" w:rsidRPr="00143762" w:rsidRDefault="00617918" w:rsidP="009B112A">
      <w:pPr>
        <w:pStyle w:val="FootnoteText"/>
        <w:jc w:val="both"/>
        <w:rPr>
          <w:lang w:val="nl-BE"/>
        </w:rPr>
      </w:pPr>
      <w:r w:rsidRPr="00F21922">
        <w:rPr>
          <w:rStyle w:val="FootnoteReference"/>
          <w:lang w:val="nl-BE"/>
        </w:rPr>
        <w:t>30</w:t>
      </w:r>
      <w:r w:rsidRPr="00143762">
        <w:rPr>
          <w:lang w:val="nl-BE"/>
        </w:rPr>
        <w:t xml:space="preserve"> DOC 55 2141/001, pagina 22.</w:t>
      </w:r>
    </w:p>
  </w:footnote>
  <w:footnote w:id="31">
    <w:p w14:paraId="6F7A0456" w14:textId="0EDE1269" w:rsidR="00617918" w:rsidRPr="00143762" w:rsidRDefault="00617918" w:rsidP="009B112A">
      <w:pPr>
        <w:pStyle w:val="FootnoteText"/>
        <w:jc w:val="both"/>
        <w:rPr>
          <w:lang w:val="nl-BE"/>
        </w:rPr>
      </w:pPr>
      <w:r w:rsidRPr="00F21922">
        <w:rPr>
          <w:rStyle w:val="FootnoteReference"/>
          <w:lang w:val="nl-BE"/>
        </w:rPr>
        <w:t>31</w:t>
      </w:r>
      <w:r w:rsidRPr="00143762">
        <w:rPr>
          <w:lang w:val="nl-BE"/>
        </w:rPr>
        <w:t xml:space="preserve"> DOC 55 2141/001, pagina 22.</w:t>
      </w:r>
    </w:p>
  </w:footnote>
  <w:footnote w:id="32">
    <w:p w14:paraId="618545AB" w14:textId="1457DAE9" w:rsidR="00617918" w:rsidRPr="00143762" w:rsidRDefault="00617918" w:rsidP="009B112A">
      <w:pPr>
        <w:pStyle w:val="FootnoteText"/>
        <w:jc w:val="both"/>
        <w:rPr>
          <w:lang w:val="nl-BE"/>
        </w:rPr>
      </w:pPr>
      <w:r w:rsidRPr="00F21922">
        <w:rPr>
          <w:rStyle w:val="FootnoteReference"/>
          <w:lang w:val="nl-BE"/>
        </w:rPr>
        <w:t>32</w:t>
      </w:r>
      <w:r w:rsidRPr="00143762">
        <w:rPr>
          <w:lang w:val="nl-BE"/>
        </w:rPr>
        <w:t xml:space="preserve"> Cass., 24 mei 2011, A. R. P. 10 1990.N, N.C., 2012, 60.</w:t>
      </w:r>
    </w:p>
  </w:footnote>
  <w:footnote w:id="33">
    <w:p w14:paraId="38B456FF" w14:textId="0D279F69" w:rsidR="00617918" w:rsidRPr="00143762" w:rsidRDefault="00617918" w:rsidP="009B112A">
      <w:pPr>
        <w:pStyle w:val="FootnoteText"/>
        <w:jc w:val="both"/>
        <w:rPr>
          <w:lang w:val="nl-BE"/>
        </w:rPr>
      </w:pPr>
      <w:r w:rsidRPr="00F21922">
        <w:rPr>
          <w:rStyle w:val="FootnoteReference"/>
          <w:lang w:val="nl-BE"/>
        </w:rPr>
        <w:t>33</w:t>
      </w:r>
      <w:r w:rsidRPr="00FA4216">
        <w:rPr>
          <w:lang w:val="nl-BE"/>
        </w:rPr>
        <w:t xml:space="preserve"> </w:t>
      </w:r>
      <w:r w:rsidRPr="004E4270">
        <w:rPr>
          <w:lang w:val="nl-BE"/>
        </w:rPr>
        <w:t xml:space="preserve">Nochtans dient </w:t>
      </w:r>
      <w:r w:rsidRPr="00FA4216">
        <w:rPr>
          <w:lang w:val="nl-BE"/>
        </w:rPr>
        <w:t xml:space="preserve">opgemerkt te worden dat deze definitie het collectieve bewustzijn als uitgangspunt neemt, terwijl de wetgever voortaan veeleer wenst uit te gaan van de perceptie van een redelijk persoon. </w:t>
      </w:r>
    </w:p>
  </w:footnote>
  <w:footnote w:id="34">
    <w:p w14:paraId="75CD3065" w14:textId="703D3A07" w:rsidR="00617918" w:rsidRPr="00143762" w:rsidRDefault="00617918" w:rsidP="009B112A">
      <w:pPr>
        <w:pStyle w:val="FootnoteText"/>
        <w:jc w:val="both"/>
        <w:rPr>
          <w:lang w:val="nl-BE"/>
        </w:rPr>
      </w:pPr>
      <w:r w:rsidRPr="00F21922">
        <w:rPr>
          <w:rStyle w:val="FootnoteReference"/>
          <w:lang w:val="nl-BE"/>
        </w:rPr>
        <w:t>34</w:t>
      </w:r>
      <w:r w:rsidRPr="00143762">
        <w:rPr>
          <w:lang w:val="nl-BE"/>
        </w:rPr>
        <w:t xml:space="preserve"> DOC 55 2141/001, pagina 26.</w:t>
      </w:r>
    </w:p>
  </w:footnote>
  <w:footnote w:id="35">
    <w:p w14:paraId="53BC3A1A" w14:textId="115D87CA" w:rsidR="00617918" w:rsidRPr="00143762" w:rsidRDefault="00617918" w:rsidP="009B112A">
      <w:pPr>
        <w:pStyle w:val="FootnoteText"/>
        <w:jc w:val="both"/>
        <w:rPr>
          <w:lang w:val="nl-BE"/>
        </w:rPr>
      </w:pPr>
      <w:r w:rsidRPr="00F21922">
        <w:rPr>
          <w:rStyle w:val="FootnoteReference"/>
          <w:lang w:val="nl-BE"/>
        </w:rPr>
        <w:t>35</w:t>
      </w:r>
      <w:r w:rsidRPr="00143762">
        <w:rPr>
          <w:lang w:val="nl-BE"/>
        </w:rPr>
        <w:t xml:space="preserve"> DOC 55 2141/001, pagina 26.</w:t>
      </w:r>
    </w:p>
  </w:footnote>
  <w:footnote w:id="36">
    <w:p w14:paraId="6A143DA2" w14:textId="04972D33" w:rsidR="00617918" w:rsidRPr="00FA4216" w:rsidRDefault="00617918" w:rsidP="009B112A">
      <w:pPr>
        <w:pStyle w:val="FootnoteText"/>
        <w:jc w:val="both"/>
        <w:rPr>
          <w:lang w:val="nl-BE"/>
        </w:rPr>
      </w:pPr>
      <w:r w:rsidRPr="00F21922">
        <w:rPr>
          <w:rStyle w:val="FootnoteReference"/>
          <w:lang w:val="nl-BE"/>
        </w:rPr>
        <w:t>36</w:t>
      </w:r>
      <w:r w:rsidRPr="00FA4216">
        <w:rPr>
          <w:lang w:val="nl-BE"/>
        </w:rPr>
        <w:t xml:space="preserve"> </w:t>
      </w:r>
      <w:r w:rsidRPr="00FA4216">
        <w:rPr>
          <w:rFonts w:cstheme="minorHAnsi"/>
          <w:lang w:val="nl-BE"/>
        </w:rPr>
        <w:t xml:space="preserve">De memorie van toelichting is duidelijker en vermeldt </w:t>
      </w:r>
      <w:r w:rsidRPr="002E6324">
        <w:rPr>
          <w:rFonts w:cstheme="minorHAnsi"/>
          <w:i/>
          <w:iCs/>
          <w:lang w:val="nl-BE"/>
        </w:rPr>
        <w:t xml:space="preserve">“… </w:t>
      </w:r>
      <w:r w:rsidRPr="002E6324">
        <w:rPr>
          <w:i/>
          <w:iCs/>
          <w:lang w:val="nl-BE"/>
        </w:rPr>
        <w:t>het voor seksuele doeleinden bewerkstelligen dat een persoon die daarmee niet instemt, getuige is van seksuele handelingen of van seksueel misbruik, ook zonder dat het daaraan hoeft deel te nemen</w:t>
      </w:r>
      <w:r>
        <w:rPr>
          <w:i/>
          <w:iCs/>
          <w:lang w:val="nl-BE"/>
        </w:rPr>
        <w:t>.</w:t>
      </w:r>
      <w:r w:rsidRPr="002E6324">
        <w:rPr>
          <w:i/>
          <w:iCs/>
          <w:lang w:val="nl-BE"/>
        </w:rPr>
        <w:t>”</w:t>
      </w:r>
      <w:r w:rsidRPr="00FA4216">
        <w:rPr>
          <w:rFonts w:cstheme="minorHAnsi"/>
          <w:lang w:val="nl-BE"/>
        </w:rPr>
        <w:t xml:space="preserve"> (</w:t>
      </w:r>
      <w:r w:rsidRPr="00FA4216">
        <w:rPr>
          <w:lang w:val="nl-BE"/>
        </w:rPr>
        <w:t>DOC 55 2141/001, pagina 27).</w:t>
      </w:r>
    </w:p>
  </w:footnote>
  <w:footnote w:id="37">
    <w:p w14:paraId="51DA04BC" w14:textId="1D860448" w:rsidR="00617918" w:rsidRPr="00F55EDD" w:rsidRDefault="00617918" w:rsidP="009B112A">
      <w:pPr>
        <w:pStyle w:val="FootnoteText"/>
        <w:jc w:val="both"/>
        <w:rPr>
          <w:lang w:val="nl-BE"/>
        </w:rPr>
      </w:pPr>
      <w:r w:rsidRPr="006D0973">
        <w:rPr>
          <w:rStyle w:val="FootnoteReference"/>
          <w:lang w:val="nl-BE"/>
        </w:rPr>
        <w:t>37</w:t>
      </w:r>
      <w:r w:rsidRPr="0097267D">
        <w:rPr>
          <w:lang w:val="nl-BE"/>
        </w:rPr>
        <w:t xml:space="preserve"> De wetgever stelt op een expliciete manier: </w:t>
      </w:r>
      <w:r w:rsidRPr="002E6324">
        <w:rPr>
          <w:i/>
          <w:iCs/>
          <w:lang w:val="nl-BE"/>
        </w:rPr>
        <w:t>“Het artikel betreffende de seksuele meerderjarigheid is net zoals dat betreffende de toestemming een bepaling die betrekking heeft op alle niet-consensuele seksuele handelingen van artikel 417/7 en volgende.”</w:t>
      </w:r>
      <w:r w:rsidRPr="0097267D">
        <w:rPr>
          <w:lang w:val="nl-BE"/>
        </w:rPr>
        <w:t xml:space="preserve"> </w:t>
      </w:r>
      <w:r w:rsidRPr="00F55EDD">
        <w:rPr>
          <w:lang w:val="nl-BE"/>
        </w:rPr>
        <w:t>(DOC 55 2141/001, pagina’s 13 en 14).</w:t>
      </w:r>
    </w:p>
  </w:footnote>
  <w:footnote w:id="38">
    <w:p w14:paraId="57EB4AD1" w14:textId="24816E06" w:rsidR="00617918" w:rsidRPr="00143762" w:rsidRDefault="00617918" w:rsidP="009B112A">
      <w:pPr>
        <w:pStyle w:val="FootnoteText"/>
        <w:jc w:val="both"/>
        <w:rPr>
          <w:lang w:val="nl-BE"/>
        </w:rPr>
      </w:pPr>
      <w:r w:rsidRPr="006D0973">
        <w:rPr>
          <w:rStyle w:val="FootnoteReference"/>
          <w:lang w:val="nl-BE"/>
        </w:rPr>
        <w:t>38</w:t>
      </w:r>
      <w:r w:rsidRPr="00143762">
        <w:rPr>
          <w:lang w:val="nl-BE"/>
        </w:rPr>
        <w:t xml:space="preserve"> Cass, 29 oktober 2019, P.19 0800.N, geciteerd in DOC 55 2141/001, pagina 23.</w:t>
      </w:r>
    </w:p>
  </w:footnote>
  <w:footnote w:id="39">
    <w:p w14:paraId="64D548CD" w14:textId="32D639E8" w:rsidR="00617918" w:rsidRPr="00B533CF" w:rsidRDefault="00617918" w:rsidP="009B112A">
      <w:pPr>
        <w:pStyle w:val="FootnoteText"/>
        <w:jc w:val="both"/>
        <w:rPr>
          <w:lang w:val="nl-BE"/>
        </w:rPr>
      </w:pPr>
      <w:r w:rsidRPr="006D0973">
        <w:rPr>
          <w:rStyle w:val="FootnoteReference"/>
          <w:lang w:val="nl-BE"/>
        </w:rPr>
        <w:t>39</w:t>
      </w:r>
      <w:r w:rsidRPr="00B533CF">
        <w:rPr>
          <w:lang w:val="nl-BE"/>
        </w:rPr>
        <w:t xml:space="preserve"> DOC 55 2141/001, pagina 23.</w:t>
      </w:r>
    </w:p>
  </w:footnote>
  <w:footnote w:id="40">
    <w:p w14:paraId="1F4ADE4A" w14:textId="7BD836D3" w:rsidR="00617918" w:rsidRPr="00B533CF" w:rsidRDefault="00617918" w:rsidP="009B112A">
      <w:pPr>
        <w:pStyle w:val="FootnoteText"/>
        <w:jc w:val="both"/>
        <w:rPr>
          <w:lang w:val="nl-BE"/>
        </w:rPr>
      </w:pPr>
      <w:r w:rsidRPr="006D0973">
        <w:rPr>
          <w:rStyle w:val="FootnoteReference"/>
          <w:lang w:val="nl-BE"/>
        </w:rPr>
        <w:t>40</w:t>
      </w:r>
      <w:r w:rsidRPr="00B533CF">
        <w:rPr>
          <w:lang w:val="nl-BE"/>
        </w:rPr>
        <w:t xml:space="preserve"> DOC 55 2141/001, pagina 23.</w:t>
      </w:r>
    </w:p>
  </w:footnote>
  <w:footnote w:id="41">
    <w:p w14:paraId="7080D787" w14:textId="2A07AA3C" w:rsidR="00617918" w:rsidRPr="00B533CF" w:rsidRDefault="00617918" w:rsidP="009B112A">
      <w:pPr>
        <w:pStyle w:val="FootnoteText"/>
        <w:jc w:val="both"/>
        <w:rPr>
          <w:lang w:val="nl-BE"/>
        </w:rPr>
      </w:pPr>
      <w:r w:rsidRPr="006D0973">
        <w:rPr>
          <w:rStyle w:val="FootnoteReference"/>
          <w:lang w:val="nl-BE"/>
        </w:rPr>
        <w:t>41</w:t>
      </w:r>
      <w:r w:rsidRPr="00B533CF">
        <w:rPr>
          <w:lang w:val="nl-BE"/>
        </w:rPr>
        <w:t xml:space="preserve"> DOC 55 2141/001, pagina 23.</w:t>
      </w:r>
    </w:p>
  </w:footnote>
  <w:footnote w:id="42">
    <w:p w14:paraId="1B6D7F57" w14:textId="4099295B" w:rsidR="00617918" w:rsidRPr="006A1628" w:rsidRDefault="00617918" w:rsidP="009B112A">
      <w:pPr>
        <w:pStyle w:val="FootnoteText"/>
        <w:jc w:val="both"/>
        <w:rPr>
          <w:lang w:val="nl-BE"/>
        </w:rPr>
      </w:pPr>
      <w:r w:rsidRPr="006D0973">
        <w:rPr>
          <w:rStyle w:val="FootnoteReference"/>
          <w:lang w:val="nl-BE"/>
        </w:rPr>
        <w:t>42</w:t>
      </w:r>
      <w:r w:rsidRPr="006A1628">
        <w:rPr>
          <w:lang w:val="nl-BE"/>
        </w:rPr>
        <w:t xml:space="preserve"> DOC 2141/006, pagina’s 63 tot 66; DOC 2141/005, pagina’s 22 en 23.</w:t>
      </w:r>
    </w:p>
  </w:footnote>
  <w:footnote w:id="43">
    <w:p w14:paraId="169221C6" w14:textId="6ECAFB07" w:rsidR="00617918" w:rsidRPr="006A1628" w:rsidRDefault="00617918" w:rsidP="009B112A">
      <w:pPr>
        <w:pStyle w:val="FootnoteText"/>
        <w:jc w:val="both"/>
        <w:rPr>
          <w:lang w:val="nl-BE"/>
        </w:rPr>
      </w:pPr>
      <w:r w:rsidRPr="006D0973">
        <w:rPr>
          <w:rStyle w:val="FootnoteReference"/>
          <w:lang w:val="nl-BE"/>
        </w:rPr>
        <w:t>43</w:t>
      </w:r>
      <w:r w:rsidRPr="006A1628">
        <w:rPr>
          <w:lang w:val="nl-BE"/>
        </w:rPr>
        <w:t xml:space="preserve"> DOC 2414/006 pagina’s 65 en 66.</w:t>
      </w:r>
    </w:p>
  </w:footnote>
  <w:footnote w:id="44">
    <w:p w14:paraId="23349428" w14:textId="05EC78EB" w:rsidR="00617918" w:rsidRPr="006A1628" w:rsidRDefault="00617918" w:rsidP="009B112A">
      <w:pPr>
        <w:pStyle w:val="FootnoteText"/>
        <w:jc w:val="both"/>
        <w:rPr>
          <w:lang w:val="nl-BE"/>
        </w:rPr>
      </w:pPr>
      <w:r w:rsidRPr="006D0973">
        <w:rPr>
          <w:rStyle w:val="FootnoteReference"/>
          <w:lang w:val="nl-BE"/>
        </w:rPr>
        <w:t>44</w:t>
      </w:r>
      <w:r w:rsidRPr="006A1628">
        <w:rPr>
          <w:lang w:val="nl-BE"/>
        </w:rPr>
        <w:t xml:space="preserve"> DOC 55 2141/001, pagina 24. Zie ook DOC 55 2141/001, pagina’s 61 </w:t>
      </w:r>
      <w:r>
        <w:rPr>
          <w:lang w:val="nl-BE"/>
        </w:rPr>
        <w:t>tot</w:t>
      </w:r>
      <w:r w:rsidRPr="006A1628">
        <w:rPr>
          <w:lang w:val="nl-BE"/>
        </w:rPr>
        <w:t xml:space="preserve"> 64.</w:t>
      </w:r>
    </w:p>
  </w:footnote>
  <w:footnote w:id="45">
    <w:p w14:paraId="489E120D" w14:textId="6DE418B6" w:rsidR="00617918" w:rsidRPr="00555BE7" w:rsidRDefault="00617918" w:rsidP="009B112A">
      <w:pPr>
        <w:jc w:val="both"/>
        <w:rPr>
          <w:color w:val="000000"/>
          <w:lang w:val="nl-BE"/>
        </w:rPr>
      </w:pPr>
      <w:r w:rsidRPr="006D0973">
        <w:rPr>
          <w:rStyle w:val="FootnoteReference"/>
          <w:sz w:val="20"/>
          <w:szCs w:val="20"/>
          <w:lang w:val="nl-BE"/>
        </w:rPr>
        <w:t>45</w:t>
      </w:r>
      <w:r w:rsidRPr="00555BE7">
        <w:rPr>
          <w:sz w:val="20"/>
          <w:szCs w:val="20"/>
          <w:lang w:val="nl-BE"/>
        </w:rPr>
        <w:t xml:space="preserve"> </w:t>
      </w:r>
      <w:r w:rsidRPr="00555BE7">
        <w:rPr>
          <w:rFonts w:cstheme="minorHAnsi"/>
          <w:sz w:val="20"/>
          <w:szCs w:val="20"/>
          <w:lang w:val="nl-BE"/>
        </w:rPr>
        <w:t>De inhoud bedoeld in artikel 417/9 ( [een] ontblote [</w:t>
      </w:r>
      <w:r>
        <w:rPr>
          <w:rFonts w:cstheme="minorHAnsi"/>
          <w:sz w:val="20"/>
          <w:szCs w:val="20"/>
          <w:lang w:val="nl-BE"/>
        </w:rPr>
        <w:t>persoon</w:t>
      </w:r>
      <w:r w:rsidRPr="00555BE7">
        <w:rPr>
          <w:rFonts w:cstheme="minorHAnsi"/>
          <w:sz w:val="20"/>
          <w:szCs w:val="20"/>
          <w:lang w:val="nl-BE"/>
        </w:rPr>
        <w:t>] of die een seksuele handeling stelt) en deze bedoeld in de artikelen 417/43 tot 417/47 (</w:t>
      </w:r>
      <w:r w:rsidRPr="00555BE7">
        <w:rPr>
          <w:color w:val="000000"/>
          <w:sz w:val="20"/>
          <w:szCs w:val="20"/>
          <w:lang w:val="nl-BE"/>
        </w:rPr>
        <w:t xml:space="preserve">een minderjarige die deelneemt aan echte of gesimuleerde expliciete seksuele gedragingen, of </w:t>
      </w:r>
      <w:r>
        <w:rPr>
          <w:color w:val="000000"/>
          <w:sz w:val="20"/>
          <w:szCs w:val="20"/>
          <w:lang w:val="nl-BE"/>
        </w:rPr>
        <w:t>die</w:t>
      </w:r>
      <w:r w:rsidRPr="00555BE7">
        <w:rPr>
          <w:color w:val="000000"/>
          <w:sz w:val="20"/>
          <w:szCs w:val="20"/>
          <w:lang w:val="nl-BE"/>
        </w:rPr>
        <w:t xml:space="preserve"> de weergave behelst van de geslachtsorganen van een minderjarige voor primair seksuele doeleinden</w:t>
      </w:r>
      <w:r w:rsidRPr="00555BE7">
        <w:rPr>
          <w:rFonts w:cstheme="minorHAnsi"/>
          <w:sz w:val="20"/>
          <w:szCs w:val="20"/>
          <w:lang w:val="nl-BE"/>
        </w:rPr>
        <w:t xml:space="preserve">) zijn </w:t>
      </w:r>
      <w:r>
        <w:rPr>
          <w:rFonts w:cstheme="minorHAnsi"/>
          <w:sz w:val="20"/>
          <w:szCs w:val="20"/>
          <w:lang w:val="nl-BE"/>
        </w:rPr>
        <w:t xml:space="preserve">niet geheel identiek. </w:t>
      </w:r>
      <w:r w:rsidRPr="00555BE7">
        <w:rPr>
          <w:rFonts w:cstheme="minorHAnsi"/>
          <w:sz w:val="20"/>
          <w:szCs w:val="20"/>
          <w:lang w:val="nl-BE"/>
        </w:rPr>
        <w:t>Niettemin is de ruime definitie die gegeven wordt aan ‘beelden van seksueel misbruik</w:t>
      </w:r>
      <w:r>
        <w:rPr>
          <w:rFonts w:cstheme="minorHAnsi"/>
          <w:sz w:val="20"/>
          <w:szCs w:val="20"/>
          <w:lang w:val="nl-BE"/>
        </w:rPr>
        <w:t>’</w:t>
      </w:r>
      <w:r w:rsidRPr="00555BE7">
        <w:rPr>
          <w:rFonts w:cstheme="minorHAnsi"/>
          <w:sz w:val="20"/>
          <w:szCs w:val="20"/>
          <w:lang w:val="nl-BE"/>
        </w:rPr>
        <w:t xml:space="preserve"> voldoende om de niet-consensuele verspreiding van elke vorm van seksuele inhoud betreffende een minderjarige te bestraffen. </w:t>
      </w:r>
    </w:p>
    <w:p w14:paraId="732749AC" w14:textId="77777777" w:rsidR="00617918" w:rsidRPr="00555BE7" w:rsidRDefault="00617918" w:rsidP="009B112A">
      <w:pPr>
        <w:pStyle w:val="FootnoteText"/>
        <w:jc w:val="both"/>
        <w:rPr>
          <w:lang w:val="nl-BE"/>
        </w:rPr>
      </w:pPr>
    </w:p>
  </w:footnote>
  <w:footnote w:id="46">
    <w:p w14:paraId="0D1FA881" w14:textId="57E63DE4" w:rsidR="00617918" w:rsidRPr="002A76D0" w:rsidRDefault="00617918" w:rsidP="009B112A">
      <w:pPr>
        <w:pStyle w:val="FootnoteText"/>
        <w:jc w:val="both"/>
        <w:rPr>
          <w:lang w:val="nl-BE"/>
        </w:rPr>
      </w:pPr>
      <w:r w:rsidRPr="006E7C04">
        <w:rPr>
          <w:rStyle w:val="FootnoteReference"/>
          <w:lang w:val="nl-BE"/>
        </w:rPr>
        <w:t>46</w:t>
      </w:r>
      <w:r w:rsidRPr="002A76D0">
        <w:rPr>
          <w:lang w:val="nl-BE"/>
        </w:rPr>
        <w:t xml:space="preserve"> DOC 55 2141/001, pagina’s 26 en 27.</w:t>
      </w:r>
    </w:p>
  </w:footnote>
  <w:footnote w:id="47">
    <w:p w14:paraId="26878D8E" w14:textId="5BD02F71" w:rsidR="00617918" w:rsidRPr="002A76D0" w:rsidRDefault="00617918" w:rsidP="009B112A">
      <w:pPr>
        <w:pStyle w:val="FootnoteText"/>
        <w:jc w:val="both"/>
        <w:rPr>
          <w:lang w:val="nl-BE"/>
        </w:rPr>
      </w:pPr>
      <w:r w:rsidRPr="006E7C04">
        <w:rPr>
          <w:rStyle w:val="FootnoteReference"/>
          <w:lang w:val="nl-BE"/>
        </w:rPr>
        <w:t>47</w:t>
      </w:r>
      <w:r w:rsidRPr="002A76D0">
        <w:rPr>
          <w:lang w:val="nl-BE"/>
        </w:rPr>
        <w:t xml:space="preserve"> DOC 55 2141/001, pagina 31.</w:t>
      </w:r>
    </w:p>
  </w:footnote>
  <w:footnote w:id="48">
    <w:p w14:paraId="2C2CC87B" w14:textId="1E012AD0" w:rsidR="00617918" w:rsidRPr="00F5697D" w:rsidRDefault="00617918" w:rsidP="009B112A">
      <w:pPr>
        <w:pStyle w:val="FootnoteText"/>
        <w:jc w:val="both"/>
        <w:rPr>
          <w:lang w:val="nl-BE"/>
        </w:rPr>
      </w:pPr>
      <w:r w:rsidRPr="00D703D6">
        <w:rPr>
          <w:rStyle w:val="FootnoteReference"/>
          <w:lang w:val="nl-BE"/>
        </w:rPr>
        <w:t>48</w:t>
      </w:r>
      <w:r w:rsidRPr="00D703D6">
        <w:rPr>
          <w:lang w:val="nl-BE"/>
        </w:rPr>
        <w:t xml:space="preserve"> Het College van procureurs-</w:t>
      </w:r>
      <w:r w:rsidRPr="006523FD">
        <w:rPr>
          <w:lang w:val="nl-BE"/>
        </w:rPr>
        <w:t xml:space="preserve">generaal nam in dat verband het initiatief om </w:t>
      </w:r>
      <w:r w:rsidRPr="00D703D6">
        <w:rPr>
          <w:lang w:val="nl-BE"/>
        </w:rPr>
        <w:t xml:space="preserve">de minister van Justitie aan te </w:t>
      </w:r>
      <w:r w:rsidRPr="006523FD">
        <w:rPr>
          <w:lang w:val="nl-BE"/>
        </w:rPr>
        <w:t xml:space="preserve">schrijven ten einde zijn </w:t>
      </w:r>
      <w:r w:rsidRPr="00D703D6">
        <w:rPr>
          <w:lang w:val="nl-BE"/>
        </w:rPr>
        <w:t>aandacht te vestigen op dit vanuit het oogpunt van de uitoefening van de strafvordering zeer problematische gegeven.</w:t>
      </w:r>
    </w:p>
  </w:footnote>
  <w:footnote w:id="49">
    <w:p w14:paraId="4DB04B25" w14:textId="62C766EE" w:rsidR="00617918" w:rsidRPr="008758C0" w:rsidRDefault="00617918" w:rsidP="009B112A">
      <w:pPr>
        <w:spacing w:after="0"/>
        <w:jc w:val="both"/>
        <w:rPr>
          <w:rFonts w:cstheme="minorHAnsi"/>
          <w:sz w:val="20"/>
          <w:szCs w:val="20"/>
          <w:lang w:val="nl-BE"/>
        </w:rPr>
      </w:pPr>
      <w:r w:rsidRPr="006E7C04">
        <w:rPr>
          <w:rStyle w:val="FootnoteReference"/>
          <w:sz w:val="20"/>
          <w:szCs w:val="20"/>
          <w:lang w:val="nl-BE"/>
        </w:rPr>
        <w:t>49</w:t>
      </w:r>
      <w:r w:rsidRPr="008758C0">
        <w:rPr>
          <w:sz w:val="20"/>
          <w:szCs w:val="20"/>
          <w:lang w:val="nl-BE"/>
        </w:rPr>
        <w:t xml:space="preserve"> Zijnde naargelang de context: belaging, onvrijwillige doodslag, ver</w:t>
      </w:r>
      <w:r>
        <w:rPr>
          <w:sz w:val="20"/>
          <w:szCs w:val="20"/>
          <w:lang w:val="nl-BE"/>
        </w:rPr>
        <w:t>n</w:t>
      </w:r>
      <w:r w:rsidRPr="008758C0">
        <w:rPr>
          <w:sz w:val="20"/>
          <w:szCs w:val="20"/>
          <w:lang w:val="nl-BE"/>
        </w:rPr>
        <w:t xml:space="preserve">ederende behandeling of, in de zwaardere gevallen, onmenselijke behandeling met de verzwarende omstandigheid dat het misdrijf de dood tot gevolg had, afpersing, met de verzwarende omstandigheid dat </w:t>
      </w:r>
      <w:r>
        <w:rPr>
          <w:sz w:val="20"/>
          <w:szCs w:val="20"/>
          <w:lang w:val="nl-BE"/>
        </w:rPr>
        <w:t>de bedreiging</w:t>
      </w:r>
      <w:r w:rsidRPr="008758C0">
        <w:rPr>
          <w:sz w:val="20"/>
          <w:szCs w:val="20"/>
          <w:lang w:val="nl-BE"/>
        </w:rPr>
        <w:t xml:space="preserve"> de dood tot gevolg had</w:t>
      </w:r>
      <w:r w:rsidRPr="00D703D6">
        <w:rPr>
          <w:rFonts w:cstheme="minorHAnsi"/>
          <w:sz w:val="20"/>
          <w:szCs w:val="20"/>
          <w:lang w:val="nl-BE"/>
        </w:rPr>
        <w:t>, …</w:t>
      </w:r>
    </w:p>
  </w:footnote>
  <w:footnote w:id="50">
    <w:p w14:paraId="73F66655" w14:textId="5CF7AE04" w:rsidR="00617918" w:rsidRPr="009B112A" w:rsidRDefault="00617918" w:rsidP="009B112A">
      <w:pPr>
        <w:pStyle w:val="FootnoteText"/>
        <w:jc w:val="both"/>
        <w:rPr>
          <w:lang w:val="nl-BE"/>
        </w:rPr>
      </w:pPr>
      <w:r w:rsidRPr="006E7C04">
        <w:rPr>
          <w:rStyle w:val="FootnoteReference"/>
          <w:lang w:val="nl-BE"/>
        </w:rPr>
        <w:t>50</w:t>
      </w:r>
      <w:r w:rsidRPr="009B112A">
        <w:rPr>
          <w:lang w:val="nl-BE"/>
        </w:rPr>
        <w:t xml:space="preserve"> DOC 55 2141/001, pagina 37.</w:t>
      </w:r>
    </w:p>
  </w:footnote>
  <w:footnote w:id="51">
    <w:p w14:paraId="58F42036" w14:textId="4EA63C55" w:rsidR="00617918" w:rsidRPr="009B112A" w:rsidRDefault="00617918" w:rsidP="009B112A">
      <w:pPr>
        <w:pStyle w:val="FootnoteText"/>
        <w:jc w:val="both"/>
        <w:rPr>
          <w:lang w:val="nl-BE"/>
        </w:rPr>
      </w:pPr>
      <w:r w:rsidRPr="006E7C04">
        <w:rPr>
          <w:rStyle w:val="FootnoteReference"/>
          <w:lang w:val="nl-BE"/>
        </w:rPr>
        <w:t>51</w:t>
      </w:r>
      <w:r w:rsidRPr="009B112A">
        <w:rPr>
          <w:lang w:val="nl-BE"/>
        </w:rPr>
        <w:t xml:space="preserve"> DOC 55 2141/001, pagina 33.</w:t>
      </w:r>
    </w:p>
  </w:footnote>
  <w:footnote w:id="52">
    <w:p w14:paraId="7D34D7E7" w14:textId="37CA9B38" w:rsidR="00617918" w:rsidRPr="009B112A" w:rsidRDefault="00617918" w:rsidP="009B112A">
      <w:pPr>
        <w:pStyle w:val="FootnoteText"/>
        <w:jc w:val="both"/>
        <w:rPr>
          <w:lang w:val="nl-BE"/>
        </w:rPr>
      </w:pPr>
      <w:r w:rsidRPr="006E7C04">
        <w:rPr>
          <w:rStyle w:val="FootnoteReference"/>
          <w:lang w:val="nl-BE"/>
        </w:rPr>
        <w:t>52</w:t>
      </w:r>
      <w:r w:rsidRPr="009B112A">
        <w:rPr>
          <w:lang w:val="nl-BE"/>
        </w:rPr>
        <w:t xml:space="preserve"> DOC 55 2141/001, pagina’s 34 en 35.</w:t>
      </w:r>
    </w:p>
  </w:footnote>
  <w:footnote w:id="53">
    <w:p w14:paraId="75B180CC" w14:textId="70AC7E26" w:rsidR="00617918" w:rsidRPr="009B112A" w:rsidRDefault="00617918" w:rsidP="009B112A">
      <w:pPr>
        <w:pStyle w:val="FootnoteText"/>
        <w:jc w:val="both"/>
        <w:rPr>
          <w:lang w:val="nl-BE"/>
        </w:rPr>
      </w:pPr>
      <w:r w:rsidRPr="006E7C04">
        <w:rPr>
          <w:rStyle w:val="FootnoteReference"/>
          <w:lang w:val="nl-BE"/>
        </w:rPr>
        <w:t>53</w:t>
      </w:r>
      <w:r w:rsidRPr="009B112A">
        <w:rPr>
          <w:lang w:val="nl-BE"/>
        </w:rPr>
        <w:t xml:space="preserve"> DOC 55 2141/001, pagina 36.</w:t>
      </w:r>
    </w:p>
  </w:footnote>
  <w:footnote w:id="54">
    <w:p w14:paraId="24DE100B" w14:textId="24C914DB" w:rsidR="00617918" w:rsidRPr="004A6A91" w:rsidRDefault="00617918" w:rsidP="009B112A">
      <w:pPr>
        <w:pStyle w:val="FootnoteText"/>
        <w:jc w:val="both"/>
        <w:rPr>
          <w:lang w:val="nl-BE"/>
        </w:rPr>
      </w:pPr>
      <w:r w:rsidRPr="006E7C04">
        <w:rPr>
          <w:rStyle w:val="FootnoteReference"/>
          <w:lang w:val="nl-BE"/>
        </w:rPr>
        <w:t>54</w:t>
      </w:r>
      <w:r w:rsidRPr="004A6A91">
        <w:rPr>
          <w:lang w:val="nl-BE"/>
        </w:rPr>
        <w:t xml:space="preserve"> In artikel 417/5 werd het begrip ‘lichamelijk of geestelijk gebrek of onvolkomenheid’ vervangen door ‘een handicapsituatie’.</w:t>
      </w:r>
    </w:p>
  </w:footnote>
  <w:footnote w:id="55">
    <w:p w14:paraId="0F1849B7" w14:textId="4156E357" w:rsidR="00617918" w:rsidRPr="004A6A91" w:rsidRDefault="00617918" w:rsidP="009B112A">
      <w:pPr>
        <w:pStyle w:val="FootnoteText"/>
        <w:jc w:val="both"/>
        <w:rPr>
          <w:lang w:val="nl-BE"/>
        </w:rPr>
      </w:pPr>
      <w:r w:rsidRPr="006E7C04">
        <w:rPr>
          <w:rStyle w:val="FootnoteReference"/>
          <w:lang w:val="nl-BE"/>
        </w:rPr>
        <w:t>55</w:t>
      </w:r>
      <w:r w:rsidRPr="004A6A91">
        <w:rPr>
          <w:lang w:val="nl-BE"/>
        </w:rPr>
        <w:t xml:space="preserve"> De bijlage met de concordantietabel werd toegevoegd via </w:t>
      </w:r>
      <w:r>
        <w:rPr>
          <w:lang w:val="nl-BE"/>
        </w:rPr>
        <w:t>een</w:t>
      </w:r>
      <w:r w:rsidRPr="004A6A91">
        <w:rPr>
          <w:lang w:val="nl-BE"/>
        </w:rPr>
        <w:t xml:space="preserve"> erratum</w:t>
      </w:r>
      <w:r>
        <w:rPr>
          <w:lang w:val="nl-BE"/>
        </w:rPr>
        <w:t xml:space="preserve">, </w:t>
      </w:r>
      <w:r w:rsidRPr="004A6A91">
        <w:rPr>
          <w:lang w:val="nl-BE"/>
        </w:rPr>
        <w:t xml:space="preserve">dat </w:t>
      </w:r>
      <w:r>
        <w:rPr>
          <w:lang w:val="nl-BE"/>
        </w:rPr>
        <w:t>in het Belgisch Staatsblad van 10 mei</w:t>
      </w:r>
      <w:r w:rsidRPr="004A6A91">
        <w:rPr>
          <w:lang w:val="nl-BE"/>
        </w:rPr>
        <w:t xml:space="preserve"> 2022</w:t>
      </w:r>
      <w:r>
        <w:rPr>
          <w:lang w:val="nl-BE"/>
        </w:rPr>
        <w:t xml:space="preserve"> gepubliceerd werd (</w:t>
      </w:r>
      <w:r w:rsidRPr="004A6A91">
        <w:rPr>
          <w:lang w:val="nl-BE"/>
        </w:rPr>
        <w:t>pag</w:t>
      </w:r>
      <w:r>
        <w:rPr>
          <w:lang w:val="nl-BE"/>
        </w:rPr>
        <w:t>ina’s</w:t>
      </w:r>
      <w:r w:rsidRPr="004A6A91">
        <w:rPr>
          <w:lang w:val="nl-BE"/>
        </w:rPr>
        <w:t xml:space="preserve"> 41820 </w:t>
      </w:r>
      <w:r>
        <w:rPr>
          <w:lang w:val="nl-BE"/>
        </w:rPr>
        <w:t>tot</w:t>
      </w:r>
      <w:r w:rsidRPr="004A6A91">
        <w:rPr>
          <w:lang w:val="nl-BE"/>
        </w:rPr>
        <w:t xml:space="preserve"> 41822</w:t>
      </w:r>
      <w:r>
        <w:rPr>
          <w:lang w:val="nl-BE"/>
        </w:rPr>
        <w:t>)</w:t>
      </w:r>
      <w:r w:rsidRPr="004A6A91">
        <w:rPr>
          <w:lang w:val="nl-BE"/>
        </w:rPr>
        <w:t>.</w:t>
      </w:r>
    </w:p>
    <w:p w14:paraId="31D0ACAD" w14:textId="77777777" w:rsidR="00617918" w:rsidRPr="004A6A91" w:rsidRDefault="00617918" w:rsidP="009B112A">
      <w:pPr>
        <w:pStyle w:val="FootnoteText"/>
        <w:jc w:val="both"/>
        <w:rPr>
          <w:lang w:val="nl-BE"/>
        </w:rPr>
      </w:pPr>
    </w:p>
  </w:footnote>
  <w:footnote w:id="56">
    <w:p w14:paraId="372C9482" w14:textId="1923AED1" w:rsidR="00617918" w:rsidRPr="00425336" w:rsidRDefault="00617918" w:rsidP="00DC3DC6">
      <w:pPr>
        <w:spacing w:after="0" w:line="240" w:lineRule="auto"/>
        <w:jc w:val="both"/>
        <w:rPr>
          <w:rFonts w:cstheme="minorHAnsi"/>
          <w:sz w:val="20"/>
          <w:szCs w:val="20"/>
          <w:lang w:val="nl-BE"/>
        </w:rPr>
      </w:pPr>
      <w:r w:rsidRPr="00DC3DC6">
        <w:rPr>
          <w:rStyle w:val="FootnoteReference"/>
          <w:sz w:val="20"/>
          <w:szCs w:val="20"/>
          <w:lang w:val="nl-BE"/>
        </w:rPr>
        <w:t>56</w:t>
      </w:r>
      <w:r w:rsidRPr="00425336">
        <w:rPr>
          <w:lang w:val="nl-BE"/>
        </w:rPr>
        <w:t xml:space="preserve"> </w:t>
      </w:r>
      <w:r w:rsidRPr="00425336">
        <w:rPr>
          <w:rFonts w:cstheme="minorHAnsi"/>
          <w:sz w:val="20"/>
          <w:szCs w:val="20"/>
          <w:lang w:val="nl-BE"/>
        </w:rPr>
        <w:t>Omzendbrief COL 4/2006, herzien op 12 oktober</w:t>
      </w:r>
      <w:r>
        <w:rPr>
          <w:rFonts w:cstheme="minorHAnsi"/>
          <w:sz w:val="20"/>
          <w:szCs w:val="20"/>
          <w:lang w:val="nl-BE"/>
        </w:rPr>
        <w:t xml:space="preserve"> 2015</w:t>
      </w:r>
      <w:r w:rsidRPr="00425336">
        <w:rPr>
          <w:rFonts w:cstheme="minorHAnsi"/>
          <w:sz w:val="20"/>
          <w:szCs w:val="20"/>
          <w:lang w:val="nl-BE"/>
        </w:rPr>
        <w:t xml:space="preserve">, Gemeenschappelijke omzendbrief van de </w:t>
      </w:r>
      <w:r>
        <w:rPr>
          <w:rFonts w:cstheme="minorHAnsi"/>
          <w:sz w:val="20"/>
          <w:szCs w:val="20"/>
          <w:lang w:val="nl-BE"/>
        </w:rPr>
        <w:t>m</w:t>
      </w:r>
      <w:r w:rsidRPr="00425336">
        <w:rPr>
          <w:rFonts w:cstheme="minorHAnsi"/>
          <w:sz w:val="20"/>
          <w:szCs w:val="20"/>
          <w:lang w:val="nl-BE"/>
        </w:rPr>
        <w:t>inister van Justitie en het College van Procureurs-generaal betreffende het strafrechtelijk beleid inzake partnergeweld, pagina 5.</w:t>
      </w:r>
    </w:p>
  </w:footnote>
  <w:footnote w:id="57">
    <w:p w14:paraId="3101230C" w14:textId="1B472A38" w:rsidR="00617918" w:rsidRPr="0013360B" w:rsidRDefault="00617918" w:rsidP="009B112A">
      <w:pPr>
        <w:pStyle w:val="FootnoteText"/>
        <w:jc w:val="both"/>
        <w:rPr>
          <w:lang w:val="nl-BE"/>
        </w:rPr>
      </w:pPr>
      <w:r w:rsidRPr="00DC3DC6">
        <w:rPr>
          <w:rStyle w:val="FootnoteReference"/>
          <w:lang w:val="nl-BE"/>
        </w:rPr>
        <w:t>57</w:t>
      </w:r>
      <w:r w:rsidRPr="0013360B">
        <w:rPr>
          <w:lang w:val="nl-BE"/>
        </w:rPr>
        <w:t xml:space="preserve"> </w:t>
      </w:r>
      <w:r w:rsidRPr="00B35C22">
        <w:rPr>
          <w:lang w:val="nl-BE"/>
        </w:rPr>
        <w:t>Evaluatiecommissie federale wetgeving ter bestrijding van discriminatie</w:t>
      </w:r>
      <w:r w:rsidRPr="0013360B">
        <w:rPr>
          <w:lang w:val="nl-BE"/>
        </w:rPr>
        <w:t xml:space="preserve">, </w:t>
      </w:r>
      <w:r>
        <w:rPr>
          <w:lang w:val="nl-BE"/>
        </w:rPr>
        <w:t>eerste evaluatierapport</w:t>
      </w:r>
      <w:r w:rsidRPr="0013360B">
        <w:rPr>
          <w:lang w:val="nl-BE"/>
        </w:rPr>
        <w:t>, 2017.</w:t>
      </w:r>
    </w:p>
  </w:footnote>
  <w:footnote w:id="58">
    <w:p w14:paraId="5D45EB7F" w14:textId="4D6059C1" w:rsidR="00617918" w:rsidRPr="007539FE" w:rsidRDefault="00617918" w:rsidP="009B112A">
      <w:pPr>
        <w:pStyle w:val="CommentText"/>
        <w:spacing w:after="0"/>
        <w:jc w:val="both"/>
        <w:rPr>
          <w:rFonts w:cstheme="minorHAnsi"/>
          <w:lang w:val="nl-BE"/>
        </w:rPr>
      </w:pPr>
      <w:r w:rsidRPr="00DC3DC6">
        <w:rPr>
          <w:rStyle w:val="FootnoteReference"/>
          <w:lang w:val="nl-BE"/>
        </w:rPr>
        <w:t>58</w:t>
      </w:r>
      <w:r w:rsidRPr="007539FE">
        <w:rPr>
          <w:lang w:val="nl-BE"/>
        </w:rPr>
        <w:t xml:space="preserve"> Wetten van 10 </w:t>
      </w:r>
      <w:r>
        <w:rPr>
          <w:lang w:val="nl-BE"/>
        </w:rPr>
        <w:t>m</w:t>
      </w:r>
      <w:r w:rsidRPr="007539FE">
        <w:rPr>
          <w:lang w:val="nl-BE"/>
        </w:rPr>
        <w:t xml:space="preserve">ei 2007 </w:t>
      </w:r>
      <w:r w:rsidRPr="007539FE">
        <w:rPr>
          <w:rFonts w:cstheme="minorHAnsi"/>
          <w:color w:val="000000"/>
          <w:lang w:val="nl-BE"/>
        </w:rPr>
        <w:t>tot</w:t>
      </w:r>
      <w:r>
        <w:rPr>
          <w:rFonts w:cstheme="minorHAnsi"/>
          <w:color w:val="000000"/>
          <w:lang w:val="nl-BE"/>
        </w:rPr>
        <w:t xml:space="preserve"> (1) </w:t>
      </w:r>
      <w:r w:rsidRPr="007539FE">
        <w:rPr>
          <w:rFonts w:cstheme="minorHAnsi"/>
          <w:color w:val="000000"/>
          <w:lang w:val="nl-BE"/>
        </w:rPr>
        <w:t>aanpassing van het Gerechtelijk Wetboek aan de wetgeving ter bestrijding van discriminatie en tot bestraffing van bepaalde door racisme of xenofobie ingegeven daden,</w:t>
      </w:r>
      <w:r>
        <w:rPr>
          <w:rFonts w:cstheme="minorHAnsi"/>
          <w:color w:val="000000"/>
          <w:lang w:val="nl-BE"/>
        </w:rPr>
        <w:t xml:space="preserve"> (2)</w:t>
      </w:r>
      <w:r w:rsidRPr="007539FE">
        <w:rPr>
          <w:rFonts w:cstheme="minorHAnsi"/>
          <w:color w:val="000000"/>
          <w:lang w:val="nl-BE"/>
        </w:rPr>
        <w:t xml:space="preserve"> </w:t>
      </w:r>
      <w:r>
        <w:rPr>
          <w:rFonts w:cstheme="minorHAnsi"/>
          <w:color w:val="000000"/>
          <w:lang w:val="nl-BE"/>
        </w:rPr>
        <w:t>t</w:t>
      </w:r>
      <w:r w:rsidRPr="007539FE">
        <w:rPr>
          <w:rFonts w:cstheme="minorHAnsi"/>
          <w:color w:val="000000"/>
          <w:lang w:val="nl-BE"/>
        </w:rPr>
        <w:t>ot wijziging van de wet van 30 juli 1981 tot bestraffing van bepaalde door racisme of xenofobie ingegeven daden en</w:t>
      </w:r>
      <w:r>
        <w:rPr>
          <w:rFonts w:cstheme="minorHAnsi"/>
          <w:color w:val="000000"/>
          <w:lang w:val="nl-BE"/>
        </w:rPr>
        <w:t xml:space="preserve"> (3)</w:t>
      </w:r>
      <w:r w:rsidRPr="007539FE">
        <w:rPr>
          <w:rFonts w:cstheme="minorHAnsi"/>
          <w:color w:val="000000"/>
          <w:lang w:val="nl-BE"/>
        </w:rPr>
        <w:t xml:space="preserve"> ter bestrijding van discriminatie tussen vrouwen en mannen</w:t>
      </w:r>
      <w:r w:rsidRPr="007539FE">
        <w:rPr>
          <w:lang w:val="nl-BE"/>
        </w:rPr>
        <w:t>.</w:t>
      </w:r>
    </w:p>
  </w:footnote>
  <w:footnote w:id="59">
    <w:p w14:paraId="60F3DC66" w14:textId="16DB0DF3" w:rsidR="00617918" w:rsidRPr="00DC3DC6" w:rsidRDefault="00617918" w:rsidP="00405FDB">
      <w:pPr>
        <w:pStyle w:val="FootnoteText"/>
        <w:jc w:val="both"/>
        <w:rPr>
          <w:lang w:val="nl-BE"/>
        </w:rPr>
      </w:pPr>
      <w:r w:rsidRPr="00DC3DC6">
        <w:rPr>
          <w:rStyle w:val="FootnoteReference"/>
          <w:lang w:val="nl-BE"/>
        </w:rPr>
        <w:t>59</w:t>
      </w:r>
      <w:r w:rsidRPr="00DC3DC6">
        <w:rPr>
          <w:lang w:val="nl-BE"/>
        </w:rPr>
        <w:t xml:space="preserve"> </w:t>
      </w:r>
      <w:r w:rsidRPr="007539FE">
        <w:rPr>
          <w:lang w:val="nl-BE"/>
        </w:rPr>
        <w:t xml:space="preserve">De wetgever geeft het volgende aan: </w:t>
      </w:r>
      <w:r w:rsidRPr="007539FE">
        <w:rPr>
          <w:i/>
          <w:iCs/>
          <w:lang w:val="nl-BE"/>
        </w:rPr>
        <w:t>“Door deze uitbreiding zou het duidelijk zijn dat zowel personen gedomicilieerd in bepaalde wijken (= sociale afkomst) als personen met een gerechtelijk verleden, dakloze personen en werklozen (= sociale positie) bedoeld worden.”</w:t>
      </w:r>
      <w:r w:rsidRPr="007539FE">
        <w:rPr>
          <w:lang w:val="nl-BE"/>
        </w:rPr>
        <w:t xml:space="preserve"> </w:t>
      </w:r>
      <w:r w:rsidRPr="009B112A">
        <w:rPr>
          <w:lang w:val="nl-BE"/>
        </w:rPr>
        <w:t>(DOC 55 2141/001, pagina 47).</w:t>
      </w:r>
    </w:p>
  </w:footnote>
  <w:footnote w:id="60">
    <w:p w14:paraId="3CBA6A78" w14:textId="407E41E9" w:rsidR="00617918" w:rsidRPr="009B112A" w:rsidRDefault="00617918" w:rsidP="009B112A">
      <w:pPr>
        <w:pStyle w:val="FootnoteText"/>
        <w:jc w:val="both"/>
        <w:rPr>
          <w:lang w:val="nl-BE"/>
        </w:rPr>
      </w:pPr>
      <w:r w:rsidRPr="00DC3DC6">
        <w:rPr>
          <w:rStyle w:val="FootnoteReference"/>
          <w:lang w:val="nl-BE"/>
        </w:rPr>
        <w:t>60</w:t>
      </w:r>
      <w:r w:rsidRPr="009B112A">
        <w:rPr>
          <w:lang w:val="nl-BE"/>
        </w:rPr>
        <w:t xml:space="preserve"> DOC 55 2141/001, pagina 52.</w:t>
      </w:r>
    </w:p>
  </w:footnote>
  <w:footnote w:id="61">
    <w:p w14:paraId="25A226FC" w14:textId="295C3090" w:rsidR="00617918" w:rsidRPr="00162191" w:rsidRDefault="00617918" w:rsidP="009B112A">
      <w:pPr>
        <w:pStyle w:val="Header"/>
        <w:jc w:val="both"/>
        <w:rPr>
          <w:rFonts w:ascii="Arial" w:hAnsi="Arial" w:cs="Arial"/>
          <w:sz w:val="20"/>
          <w:szCs w:val="20"/>
          <w:lang w:val="nl-BE"/>
        </w:rPr>
      </w:pPr>
      <w:r w:rsidRPr="00313221">
        <w:rPr>
          <w:rStyle w:val="FootnoteReference"/>
          <w:sz w:val="20"/>
          <w:szCs w:val="20"/>
          <w:lang w:val="nl-BE"/>
        </w:rPr>
        <w:t>61</w:t>
      </w:r>
      <w:r w:rsidRPr="00162191">
        <w:rPr>
          <w:lang w:val="nl-BE"/>
        </w:rPr>
        <w:t xml:space="preserve"> </w:t>
      </w:r>
      <w:r w:rsidRPr="00162191">
        <w:rPr>
          <w:sz w:val="20"/>
          <w:szCs w:val="20"/>
          <w:lang w:val="nl-BE"/>
        </w:rPr>
        <w:t xml:space="preserve">De aanpak van dit fenomeen door het Openbaar Ministerie werd vastgelegd in omzendbrief </w:t>
      </w:r>
      <w:r w:rsidRPr="00162191">
        <w:rPr>
          <w:rFonts w:cstheme="minorHAnsi"/>
          <w:sz w:val="20"/>
          <w:szCs w:val="20"/>
          <w:lang w:val="nl-BE"/>
        </w:rPr>
        <w:t>COL 6/2017 van 27 april 2017</w:t>
      </w:r>
      <w:r>
        <w:rPr>
          <w:rFonts w:cstheme="minorHAnsi"/>
          <w:sz w:val="20"/>
          <w:szCs w:val="20"/>
          <w:lang w:val="nl-BE"/>
        </w:rPr>
        <w:t>, g</w:t>
      </w:r>
      <w:r w:rsidRPr="00162191">
        <w:rPr>
          <w:rFonts w:eastAsia="Times New Roman" w:cstheme="minorHAnsi"/>
          <w:bCs/>
          <w:sz w:val="20"/>
          <w:szCs w:val="20"/>
          <w:lang w:val="nl-BE" w:eastAsia="nl-NL"/>
        </w:rPr>
        <w:t xml:space="preserve">emeenschappelijke omzendbrief van de </w:t>
      </w:r>
      <w:r>
        <w:rPr>
          <w:rFonts w:eastAsia="Times New Roman" w:cstheme="minorHAnsi"/>
          <w:bCs/>
          <w:sz w:val="20"/>
          <w:szCs w:val="20"/>
          <w:lang w:val="nl-BE" w:eastAsia="nl-NL"/>
        </w:rPr>
        <w:t>m</w:t>
      </w:r>
      <w:r w:rsidRPr="00162191">
        <w:rPr>
          <w:rFonts w:eastAsia="Times New Roman" w:cstheme="minorHAnsi"/>
          <w:bCs/>
          <w:sz w:val="20"/>
          <w:szCs w:val="20"/>
          <w:lang w:val="nl-BE" w:eastAsia="nl-NL"/>
        </w:rPr>
        <w:t>inister van Justitie en het College van Procureurs-generaal betreffende het opsporings- en vervolgingsbeleid inzake eergerelateerd geweld, vrouwelijke genitale verminkingen, gedwongen huwelijken en wettelijke samenwoningen</w:t>
      </w:r>
      <w:r w:rsidRPr="00162191">
        <w:rPr>
          <w:rFonts w:cstheme="minorHAnsi"/>
          <w:sz w:val="20"/>
          <w:szCs w:val="20"/>
          <w:lang w:val="nl-BE"/>
        </w:rPr>
        <w:t>.</w:t>
      </w:r>
    </w:p>
    <w:p w14:paraId="58BE544F" w14:textId="77777777" w:rsidR="00617918" w:rsidRPr="00162191" w:rsidRDefault="00617918" w:rsidP="009B112A">
      <w:pPr>
        <w:pStyle w:val="FootnoteText"/>
        <w:jc w:val="both"/>
        <w:rPr>
          <w:rFonts w:cstheme="minorHAnsi"/>
          <w:lang w:val="nl-BE"/>
        </w:rPr>
      </w:pPr>
    </w:p>
  </w:footnote>
  <w:footnote w:id="62">
    <w:p w14:paraId="7639ECFF" w14:textId="69B3F4CD" w:rsidR="00617918" w:rsidRPr="00C90741" w:rsidRDefault="00617918" w:rsidP="00035585">
      <w:pPr>
        <w:pStyle w:val="FootnoteText"/>
        <w:jc w:val="both"/>
        <w:rPr>
          <w:lang w:val="nl-BE"/>
        </w:rPr>
      </w:pPr>
      <w:r w:rsidRPr="00C90741">
        <w:rPr>
          <w:rStyle w:val="FootnoteReference"/>
          <w:lang w:val="nl-BE"/>
        </w:rPr>
        <w:t>62</w:t>
      </w:r>
      <w:r w:rsidRPr="00C90741">
        <w:rPr>
          <w:lang w:val="nl-BE"/>
        </w:rPr>
        <w:t xml:space="preserve"> DOC 55 2141/001, pagina 55.</w:t>
      </w:r>
    </w:p>
  </w:footnote>
  <w:footnote w:id="63">
    <w:p w14:paraId="691870EF" w14:textId="3B312A51" w:rsidR="00617918" w:rsidRPr="00C90741" w:rsidRDefault="00617918" w:rsidP="002E545D">
      <w:pPr>
        <w:pStyle w:val="FootnoteText"/>
        <w:jc w:val="both"/>
        <w:rPr>
          <w:lang w:val="nl-BE"/>
        </w:rPr>
      </w:pPr>
      <w:r w:rsidRPr="00C90741">
        <w:rPr>
          <w:rStyle w:val="FootnoteReference"/>
          <w:lang w:val="nl-BE"/>
        </w:rPr>
        <w:t>63</w:t>
      </w:r>
      <w:r w:rsidRPr="00C90741">
        <w:rPr>
          <w:lang w:val="nl-BE"/>
        </w:rPr>
        <w:t xml:space="preserve"> DOC 55 2141/001, pagina 56.</w:t>
      </w:r>
    </w:p>
  </w:footnote>
  <w:footnote w:id="64">
    <w:p w14:paraId="49EF80DE" w14:textId="74888E64" w:rsidR="00617918" w:rsidRPr="00C90741" w:rsidRDefault="00617918">
      <w:pPr>
        <w:pStyle w:val="FootnoteText"/>
        <w:rPr>
          <w:lang w:val="nl-BE"/>
        </w:rPr>
      </w:pPr>
      <w:r w:rsidRPr="00C90741">
        <w:rPr>
          <w:rStyle w:val="FootnoteReference"/>
          <w:lang w:val="nl-BE"/>
        </w:rPr>
        <w:t>64</w:t>
      </w:r>
      <w:r w:rsidRPr="00C90741">
        <w:rPr>
          <w:lang w:val="nl-BE"/>
        </w:rPr>
        <w:t xml:space="preserve"> DOC 55 2141/001, pagina 59.</w:t>
      </w:r>
    </w:p>
  </w:footnote>
  <w:footnote w:id="65">
    <w:p w14:paraId="55B76684" w14:textId="5060DD8B" w:rsidR="00617918" w:rsidRPr="00875675" w:rsidRDefault="00617918" w:rsidP="00645C17">
      <w:pPr>
        <w:pStyle w:val="FootnoteText"/>
        <w:jc w:val="both"/>
        <w:rPr>
          <w:lang w:val="nl-BE"/>
        </w:rPr>
      </w:pPr>
      <w:r w:rsidRPr="00875675">
        <w:rPr>
          <w:rStyle w:val="FootnoteReference"/>
          <w:lang w:val="nl-BE"/>
        </w:rPr>
        <w:t>65</w:t>
      </w:r>
      <w:r w:rsidRPr="00875675">
        <w:rPr>
          <w:lang w:val="nl-BE"/>
        </w:rPr>
        <w:t xml:space="preserve"> Zie de analyse van artikel 417/23 betreffende het begrip ‘ver</w:t>
      </w:r>
      <w:r>
        <w:rPr>
          <w:lang w:val="nl-BE"/>
        </w:rPr>
        <w:t>zwarende factor’</w:t>
      </w:r>
      <w:r w:rsidRPr="00875675">
        <w:rPr>
          <w:lang w:val="nl-BE"/>
        </w:rPr>
        <w:t>.</w:t>
      </w:r>
    </w:p>
  </w:footnote>
  <w:footnote w:id="66">
    <w:p w14:paraId="12895426" w14:textId="365EE6B8" w:rsidR="00617918" w:rsidRPr="00203A1F" w:rsidRDefault="00617918" w:rsidP="00645C17">
      <w:pPr>
        <w:pStyle w:val="Header"/>
        <w:jc w:val="both"/>
        <w:rPr>
          <w:rFonts w:ascii="Arial" w:hAnsi="Arial" w:cs="Arial"/>
          <w:sz w:val="28"/>
          <w:szCs w:val="28"/>
          <w:lang w:val="nl-BE"/>
        </w:rPr>
      </w:pPr>
      <w:r w:rsidRPr="00203A1F">
        <w:rPr>
          <w:rStyle w:val="FootnoteReference"/>
          <w:sz w:val="20"/>
          <w:szCs w:val="20"/>
          <w:lang w:val="nl-BE"/>
        </w:rPr>
        <w:t>66</w:t>
      </w:r>
      <w:r w:rsidRPr="00203A1F">
        <w:rPr>
          <w:lang w:val="nl-BE"/>
        </w:rPr>
        <w:t xml:space="preserve"> </w:t>
      </w:r>
      <w:r w:rsidRPr="00162191">
        <w:rPr>
          <w:sz w:val="20"/>
          <w:szCs w:val="20"/>
          <w:lang w:val="nl-BE"/>
        </w:rPr>
        <w:t xml:space="preserve">De aanpak van dit fenomeen door het Openbaar Ministerie werd vastgelegd in omzendbrief </w:t>
      </w:r>
      <w:r w:rsidRPr="00162191">
        <w:rPr>
          <w:rFonts w:cstheme="minorHAnsi"/>
          <w:sz w:val="20"/>
          <w:szCs w:val="20"/>
          <w:lang w:val="nl-BE"/>
        </w:rPr>
        <w:t>COL 6/2017 van 27 april 2017</w:t>
      </w:r>
      <w:r>
        <w:rPr>
          <w:rFonts w:cstheme="minorHAnsi"/>
          <w:sz w:val="20"/>
          <w:szCs w:val="20"/>
          <w:lang w:val="nl-BE"/>
        </w:rPr>
        <w:t>,</w:t>
      </w:r>
      <w:r w:rsidRPr="00162191">
        <w:rPr>
          <w:rFonts w:cstheme="minorHAnsi"/>
          <w:sz w:val="20"/>
          <w:szCs w:val="20"/>
          <w:lang w:val="nl-BE"/>
        </w:rPr>
        <w:t xml:space="preserve"> </w:t>
      </w:r>
      <w:r w:rsidRPr="00162191">
        <w:rPr>
          <w:rFonts w:eastAsia="Times New Roman" w:cstheme="minorHAnsi"/>
          <w:bCs/>
          <w:sz w:val="20"/>
          <w:szCs w:val="20"/>
          <w:lang w:val="nl-BE" w:eastAsia="nl-NL"/>
        </w:rPr>
        <w:t xml:space="preserve">Gemeenschappelijke omzendbrief van de </w:t>
      </w:r>
      <w:r>
        <w:rPr>
          <w:rFonts w:eastAsia="Times New Roman" w:cstheme="minorHAnsi"/>
          <w:bCs/>
          <w:sz w:val="20"/>
          <w:szCs w:val="20"/>
          <w:lang w:val="nl-BE" w:eastAsia="nl-NL"/>
        </w:rPr>
        <w:t>m</w:t>
      </w:r>
      <w:r w:rsidRPr="00162191">
        <w:rPr>
          <w:rFonts w:eastAsia="Times New Roman" w:cstheme="minorHAnsi"/>
          <w:bCs/>
          <w:sz w:val="20"/>
          <w:szCs w:val="20"/>
          <w:lang w:val="nl-BE" w:eastAsia="nl-NL"/>
        </w:rPr>
        <w:t>inister van Justitie en het College van Procureurs-generaal betreffende het opsporings- en vervolgingsbeleid inzake eergerelateerd geweld, vrouwelijke genitale verminkingen, gedwongen huwelijken en wettelijke samenwoningen</w:t>
      </w:r>
      <w:r w:rsidRPr="00203A1F">
        <w:rPr>
          <w:rFonts w:cstheme="minorHAnsi"/>
          <w:sz w:val="20"/>
          <w:szCs w:val="20"/>
          <w:lang w:val="nl-BE"/>
        </w:rPr>
        <w:t>.</w:t>
      </w:r>
    </w:p>
  </w:footnote>
  <w:footnote w:id="67">
    <w:p w14:paraId="79ECCE7F" w14:textId="1F753945" w:rsidR="00617918" w:rsidRPr="00E510E6" w:rsidRDefault="00617918" w:rsidP="00E510E6">
      <w:pPr>
        <w:pStyle w:val="FootnoteText"/>
        <w:jc w:val="both"/>
        <w:rPr>
          <w:lang w:val="nl-BE"/>
        </w:rPr>
      </w:pPr>
      <w:r w:rsidRPr="00E510E6">
        <w:rPr>
          <w:rStyle w:val="FootnoteReference"/>
          <w:lang w:val="nl-BE"/>
        </w:rPr>
        <w:t>67</w:t>
      </w:r>
      <w:r w:rsidRPr="00E510E6">
        <w:rPr>
          <w:lang w:val="nl-BE"/>
        </w:rPr>
        <w:t xml:space="preserve"> DOC 55 2141/017, pagina 24: het begrip ‘inhoud’ krijgt de voorkeur omdat het algemener is en ook de ni</w:t>
      </w:r>
      <w:r>
        <w:rPr>
          <w:lang w:val="nl-BE"/>
        </w:rPr>
        <w:t>euwe technologieën omvat</w:t>
      </w:r>
      <w:r w:rsidRPr="00E510E6">
        <w:rPr>
          <w:lang w:val="nl-BE"/>
        </w:rPr>
        <w:t xml:space="preserve">. </w:t>
      </w:r>
    </w:p>
  </w:footnote>
  <w:footnote w:id="68">
    <w:p w14:paraId="650954FE" w14:textId="61AB3B22" w:rsidR="00617918" w:rsidRPr="00C90741" w:rsidRDefault="00617918" w:rsidP="00E510E6">
      <w:pPr>
        <w:pStyle w:val="FootnoteText"/>
        <w:jc w:val="both"/>
        <w:rPr>
          <w:lang w:val="nl-BE"/>
        </w:rPr>
      </w:pPr>
      <w:r w:rsidRPr="00C90741">
        <w:rPr>
          <w:rStyle w:val="FootnoteReference"/>
          <w:lang w:val="nl-BE"/>
        </w:rPr>
        <w:t>68</w:t>
      </w:r>
      <w:r w:rsidRPr="00C90741">
        <w:rPr>
          <w:lang w:val="nl-BE"/>
        </w:rPr>
        <w:t xml:space="preserve"> DOC 55 2141/001, pagina 65.</w:t>
      </w:r>
    </w:p>
  </w:footnote>
  <w:footnote w:id="69">
    <w:p w14:paraId="63545D7F" w14:textId="73108134" w:rsidR="00617918" w:rsidRPr="00C90741" w:rsidRDefault="00617918">
      <w:pPr>
        <w:pStyle w:val="FootnoteText"/>
        <w:rPr>
          <w:lang w:val="nl-BE"/>
        </w:rPr>
      </w:pPr>
      <w:r w:rsidRPr="00C90741">
        <w:rPr>
          <w:rStyle w:val="FootnoteReference"/>
          <w:lang w:val="nl-BE"/>
        </w:rPr>
        <w:t>69</w:t>
      </w:r>
      <w:r w:rsidRPr="00C90741">
        <w:rPr>
          <w:lang w:val="nl-BE"/>
        </w:rPr>
        <w:t xml:space="preserve"> DOC 2141/001, pagina 66. </w:t>
      </w:r>
    </w:p>
  </w:footnote>
  <w:footnote w:id="70">
    <w:p w14:paraId="36FA41F8" w14:textId="39ECB2BB" w:rsidR="00617918" w:rsidRPr="00C90741" w:rsidRDefault="00617918" w:rsidP="00065B31">
      <w:pPr>
        <w:pStyle w:val="FootnoteText"/>
        <w:jc w:val="both"/>
        <w:rPr>
          <w:lang w:val="nl-BE"/>
        </w:rPr>
      </w:pPr>
      <w:r w:rsidRPr="00065B31">
        <w:rPr>
          <w:rStyle w:val="FootnoteReference"/>
          <w:lang w:val="nl-BE"/>
        </w:rPr>
        <w:t>70</w:t>
      </w:r>
      <w:r w:rsidRPr="00065B31">
        <w:rPr>
          <w:lang w:val="nl-BE"/>
        </w:rPr>
        <w:t xml:space="preserve"> Niettemin moet steeds met alle </w:t>
      </w:r>
      <w:r w:rsidRPr="002B0732">
        <w:rPr>
          <w:lang w:val="nl-BE"/>
        </w:rPr>
        <w:t xml:space="preserve">omstandigheden van de zaak rekening </w:t>
      </w:r>
      <w:r w:rsidRPr="00065B31">
        <w:rPr>
          <w:lang w:val="nl-BE"/>
        </w:rPr>
        <w:t xml:space="preserve">gehouden worden. </w:t>
      </w:r>
    </w:p>
  </w:footnote>
  <w:footnote w:id="71">
    <w:p w14:paraId="579944E4" w14:textId="48C3F3DF" w:rsidR="00617918" w:rsidRPr="00686D7C" w:rsidRDefault="00617918">
      <w:pPr>
        <w:pStyle w:val="FootnoteText"/>
        <w:rPr>
          <w:lang w:val="nl-BE"/>
        </w:rPr>
      </w:pPr>
      <w:r w:rsidRPr="00686D7C">
        <w:rPr>
          <w:rStyle w:val="FootnoteReference"/>
          <w:lang w:val="nl-BE"/>
        </w:rPr>
        <w:t>71</w:t>
      </w:r>
      <w:r w:rsidRPr="00686D7C">
        <w:rPr>
          <w:lang w:val="nl-BE"/>
        </w:rPr>
        <w:t xml:space="preserve"> Zie de analyse van artikel 417/23 betreff</w:t>
      </w:r>
      <w:r>
        <w:rPr>
          <w:lang w:val="nl-BE"/>
        </w:rPr>
        <w:t>e</w:t>
      </w:r>
      <w:r w:rsidRPr="00686D7C">
        <w:rPr>
          <w:lang w:val="nl-BE"/>
        </w:rPr>
        <w:t>nde het begrip ‘ver</w:t>
      </w:r>
      <w:r>
        <w:rPr>
          <w:lang w:val="nl-BE"/>
        </w:rPr>
        <w:t>zwarende factor’</w:t>
      </w:r>
      <w:r w:rsidRPr="00686D7C">
        <w:rPr>
          <w:lang w:val="nl-BE"/>
        </w:rPr>
        <w:t>.</w:t>
      </w:r>
    </w:p>
  </w:footnote>
  <w:footnote w:id="72">
    <w:p w14:paraId="349E8414" w14:textId="39CAB5C1" w:rsidR="00617918" w:rsidRPr="00686D7C" w:rsidRDefault="00617918" w:rsidP="00645C17">
      <w:pPr>
        <w:pStyle w:val="FootnoteText"/>
        <w:jc w:val="both"/>
        <w:rPr>
          <w:lang w:val="nl-BE"/>
        </w:rPr>
      </w:pPr>
      <w:r w:rsidRPr="00686D7C">
        <w:rPr>
          <w:rStyle w:val="FootnoteReference"/>
          <w:lang w:val="nl-BE"/>
        </w:rPr>
        <w:t>72</w:t>
      </w:r>
      <w:r w:rsidRPr="00686D7C">
        <w:rPr>
          <w:lang w:val="nl-BE"/>
        </w:rPr>
        <w:t xml:space="preserve"> </w:t>
      </w:r>
      <w:r w:rsidRPr="00162191">
        <w:rPr>
          <w:lang w:val="nl-BE"/>
        </w:rPr>
        <w:t xml:space="preserve">De aanpak van dit fenomeen door het Openbaar Ministerie werd vastgelegd in omzendbrief </w:t>
      </w:r>
      <w:r w:rsidRPr="00162191">
        <w:rPr>
          <w:rFonts w:cstheme="minorHAnsi"/>
          <w:lang w:val="nl-BE"/>
        </w:rPr>
        <w:t>COL 6/2017 van 27 april 2017</w:t>
      </w:r>
      <w:r>
        <w:rPr>
          <w:rFonts w:cstheme="minorHAnsi"/>
          <w:lang w:val="nl-BE"/>
        </w:rPr>
        <w:t>,</w:t>
      </w:r>
      <w:r w:rsidRPr="00162191">
        <w:rPr>
          <w:rFonts w:cstheme="minorHAnsi"/>
          <w:lang w:val="nl-BE"/>
        </w:rPr>
        <w:t xml:space="preserve"> </w:t>
      </w:r>
      <w:r w:rsidRPr="00162191">
        <w:rPr>
          <w:rFonts w:eastAsia="Times New Roman" w:cstheme="minorHAnsi"/>
          <w:bCs/>
          <w:lang w:val="nl-BE" w:eastAsia="nl-NL"/>
        </w:rPr>
        <w:t xml:space="preserve">Gemeenschappelijke omzendbrief van de </w:t>
      </w:r>
      <w:r>
        <w:rPr>
          <w:rFonts w:eastAsia="Times New Roman" w:cstheme="minorHAnsi"/>
          <w:bCs/>
          <w:lang w:val="nl-BE" w:eastAsia="nl-NL"/>
        </w:rPr>
        <w:t>M</w:t>
      </w:r>
      <w:r w:rsidRPr="00162191">
        <w:rPr>
          <w:rFonts w:eastAsia="Times New Roman" w:cstheme="minorHAnsi"/>
          <w:bCs/>
          <w:lang w:val="nl-BE" w:eastAsia="nl-NL"/>
        </w:rPr>
        <w:t>inister van Justitie en het College van Procureurs-generaal betreffende het opsporings- en vervolgingsbeleid inzake eergerelateerd geweld, vrouwelijke genitale verminkingen, gedwongen huwelijken en wettelijke samenwoningen</w:t>
      </w:r>
      <w:r w:rsidRPr="00203A1F">
        <w:rPr>
          <w:rFonts w:cstheme="minorHAnsi"/>
          <w:lang w:val="nl-BE"/>
        </w:rPr>
        <w:t>.</w:t>
      </w:r>
    </w:p>
  </w:footnote>
  <w:footnote w:id="73">
    <w:p w14:paraId="734C6656" w14:textId="4F1BC1A2" w:rsidR="00617918" w:rsidRPr="00DD4815" w:rsidRDefault="00617918" w:rsidP="000634A4">
      <w:pPr>
        <w:pStyle w:val="FootnoteText"/>
        <w:jc w:val="both"/>
        <w:rPr>
          <w:lang w:val="nl-BE"/>
        </w:rPr>
      </w:pPr>
      <w:r w:rsidRPr="00DD4815">
        <w:rPr>
          <w:rStyle w:val="FootnoteReference"/>
          <w:lang w:val="nl-BE"/>
        </w:rPr>
        <w:t>73</w:t>
      </w:r>
      <w:r w:rsidRPr="00DD4815">
        <w:rPr>
          <w:lang w:val="nl-BE"/>
        </w:rPr>
        <w:t xml:space="preserve"> DOC 2141/001, pagina 86.</w:t>
      </w:r>
    </w:p>
  </w:footnote>
  <w:footnote w:id="74">
    <w:p w14:paraId="4DBADA64" w14:textId="2F249512" w:rsidR="00617918" w:rsidRPr="00DD4815" w:rsidRDefault="00617918" w:rsidP="000634A4">
      <w:pPr>
        <w:pStyle w:val="FootnoteText"/>
        <w:jc w:val="both"/>
        <w:rPr>
          <w:lang w:val="nl-BE"/>
        </w:rPr>
      </w:pPr>
      <w:r w:rsidRPr="00DD4815">
        <w:rPr>
          <w:rStyle w:val="FootnoteReference"/>
          <w:lang w:val="nl-BE"/>
        </w:rPr>
        <w:t>74</w:t>
      </w:r>
      <w:r w:rsidRPr="00DD4815">
        <w:rPr>
          <w:lang w:val="nl-BE"/>
        </w:rPr>
        <w:t xml:space="preserve"> DOC 2141/001, pagina 87.</w:t>
      </w:r>
    </w:p>
  </w:footnote>
  <w:footnote w:id="75">
    <w:p w14:paraId="48BFF8FF" w14:textId="31496ECE" w:rsidR="00617918" w:rsidRPr="00DD4815" w:rsidRDefault="00617918" w:rsidP="000634A4">
      <w:pPr>
        <w:pStyle w:val="FootnoteText"/>
        <w:jc w:val="both"/>
        <w:rPr>
          <w:lang w:val="nl-BE"/>
        </w:rPr>
      </w:pPr>
      <w:r w:rsidRPr="00DD4815">
        <w:rPr>
          <w:rStyle w:val="FootnoteReference"/>
          <w:lang w:val="nl-BE"/>
        </w:rPr>
        <w:t>75</w:t>
      </w:r>
      <w:r w:rsidRPr="00DD4815">
        <w:rPr>
          <w:lang w:val="nl-BE"/>
        </w:rPr>
        <w:t xml:space="preserve"> DOC 55 2141/006, pagina 108.</w:t>
      </w:r>
    </w:p>
  </w:footnote>
  <w:footnote w:id="76">
    <w:p w14:paraId="580B85E7" w14:textId="65650A12" w:rsidR="00617918" w:rsidRPr="00240A9B" w:rsidRDefault="00617918" w:rsidP="00240A9B">
      <w:pPr>
        <w:pStyle w:val="FootnoteText"/>
        <w:rPr>
          <w:lang w:val="nl-BE"/>
        </w:rPr>
      </w:pPr>
      <w:r w:rsidRPr="00C91FB6">
        <w:rPr>
          <w:rStyle w:val="FootnoteReference"/>
          <w:lang w:val="nl-BE"/>
        </w:rPr>
        <w:t>76</w:t>
      </w:r>
      <w:r w:rsidRPr="00240A9B">
        <w:rPr>
          <w:lang w:val="nl-BE"/>
        </w:rPr>
        <w:t xml:space="preserve"> DOC 55 2141/001, pagina 74.</w:t>
      </w:r>
    </w:p>
  </w:footnote>
  <w:footnote w:id="77">
    <w:p w14:paraId="042C5890" w14:textId="5BAB0EF8" w:rsidR="00617918" w:rsidRPr="00DD4815" w:rsidRDefault="00617918" w:rsidP="00DD4815">
      <w:pPr>
        <w:pStyle w:val="FootnoteText"/>
        <w:jc w:val="both"/>
        <w:rPr>
          <w:lang w:val="nl-BE"/>
        </w:rPr>
      </w:pPr>
      <w:r w:rsidRPr="00DD4815">
        <w:rPr>
          <w:rStyle w:val="FootnoteReference"/>
          <w:lang w:val="nl-BE"/>
        </w:rPr>
        <w:t>77</w:t>
      </w:r>
      <w:r w:rsidRPr="00DD4815">
        <w:rPr>
          <w:lang w:val="nl-BE"/>
        </w:rPr>
        <w:t xml:space="preserve"> DOC 55 2141/001, pagina 74.</w:t>
      </w:r>
    </w:p>
  </w:footnote>
  <w:footnote w:id="78">
    <w:p w14:paraId="597725DF" w14:textId="7CE6EB16" w:rsidR="00617918" w:rsidRPr="00DD4815" w:rsidRDefault="00617918" w:rsidP="00DD4815">
      <w:pPr>
        <w:pStyle w:val="FootnoteText"/>
        <w:rPr>
          <w:lang w:val="nl-BE"/>
        </w:rPr>
      </w:pPr>
      <w:r w:rsidRPr="00DD4815">
        <w:rPr>
          <w:rStyle w:val="FootnoteReference"/>
          <w:lang w:val="nl-BE"/>
        </w:rPr>
        <w:t>78</w:t>
      </w:r>
      <w:r w:rsidRPr="00DD4815">
        <w:rPr>
          <w:lang w:val="nl-BE"/>
        </w:rPr>
        <w:t xml:space="preserve"> DOC 55 2141/001, pagina 72.</w:t>
      </w:r>
    </w:p>
  </w:footnote>
  <w:footnote w:id="79">
    <w:p w14:paraId="59D1997F" w14:textId="4E60FEA7" w:rsidR="00617918" w:rsidRPr="00DD4815" w:rsidRDefault="00617918" w:rsidP="00DD4815">
      <w:pPr>
        <w:pStyle w:val="FootnoteText"/>
        <w:jc w:val="both"/>
        <w:rPr>
          <w:lang w:val="nl-BE"/>
        </w:rPr>
      </w:pPr>
      <w:r w:rsidRPr="00DD4815">
        <w:rPr>
          <w:rStyle w:val="FootnoteReference"/>
          <w:lang w:val="nl-BE"/>
        </w:rPr>
        <w:t>79</w:t>
      </w:r>
      <w:r w:rsidRPr="00DD4815">
        <w:rPr>
          <w:lang w:val="nl-BE"/>
        </w:rPr>
        <w:t xml:space="preserve"> DOC 55 2141/017, pagina 34.</w:t>
      </w:r>
    </w:p>
  </w:footnote>
  <w:footnote w:id="80">
    <w:p w14:paraId="4040B39B" w14:textId="610D7AE7" w:rsidR="00617918" w:rsidRPr="00DD4815" w:rsidRDefault="00617918" w:rsidP="00DD4815">
      <w:pPr>
        <w:pStyle w:val="FootnoteText"/>
        <w:jc w:val="both"/>
        <w:rPr>
          <w:lang w:val="nl-BE"/>
        </w:rPr>
      </w:pPr>
      <w:r w:rsidRPr="00DD4815">
        <w:rPr>
          <w:rStyle w:val="FootnoteReference"/>
          <w:lang w:val="nl-BE"/>
        </w:rPr>
        <w:t>80</w:t>
      </w:r>
      <w:r w:rsidRPr="00DD4815">
        <w:rPr>
          <w:lang w:val="nl-BE"/>
        </w:rPr>
        <w:t xml:space="preserve"> DOC 55 2141/012, pagina 11.</w:t>
      </w:r>
    </w:p>
  </w:footnote>
  <w:footnote w:id="81">
    <w:p w14:paraId="43786948" w14:textId="6A5D64D3" w:rsidR="00617918" w:rsidRPr="00DD4815" w:rsidRDefault="00617918">
      <w:pPr>
        <w:pStyle w:val="FootnoteText"/>
        <w:rPr>
          <w:lang w:val="nl-BE"/>
        </w:rPr>
      </w:pPr>
      <w:r w:rsidRPr="00DD4815">
        <w:rPr>
          <w:rStyle w:val="FootnoteReference"/>
          <w:lang w:val="nl-BE"/>
        </w:rPr>
        <w:t>81</w:t>
      </w:r>
      <w:r w:rsidRPr="00DD4815">
        <w:rPr>
          <w:lang w:val="nl-BE"/>
        </w:rPr>
        <w:t xml:space="preserve"> DOC 55 2141/017, pagina 3</w:t>
      </w:r>
      <w:r>
        <w:rPr>
          <w:lang w:val="nl-BE"/>
        </w:rPr>
        <w:t>1.</w:t>
      </w:r>
    </w:p>
  </w:footnote>
  <w:footnote w:id="82">
    <w:p w14:paraId="391477F6" w14:textId="5D518B14" w:rsidR="00617918" w:rsidRPr="00DD4815" w:rsidRDefault="00617918">
      <w:pPr>
        <w:pStyle w:val="FootnoteText"/>
        <w:rPr>
          <w:lang w:val="nl-BE"/>
        </w:rPr>
      </w:pPr>
      <w:r w:rsidRPr="00DD4815">
        <w:rPr>
          <w:rStyle w:val="FootnoteReference"/>
          <w:lang w:val="nl-BE"/>
        </w:rPr>
        <w:t>82</w:t>
      </w:r>
      <w:r w:rsidRPr="00DD4815">
        <w:rPr>
          <w:lang w:val="nl-BE"/>
        </w:rPr>
        <w:t xml:space="preserve"> DOC 55 2141/0</w:t>
      </w:r>
      <w:r>
        <w:rPr>
          <w:lang w:val="nl-BE"/>
        </w:rPr>
        <w:t>06</w:t>
      </w:r>
      <w:r w:rsidRPr="00DD4815">
        <w:rPr>
          <w:lang w:val="nl-BE"/>
        </w:rPr>
        <w:t xml:space="preserve">, pagina </w:t>
      </w:r>
      <w:r>
        <w:rPr>
          <w:lang w:val="nl-BE"/>
        </w:rPr>
        <w:t>10</w:t>
      </w:r>
      <w:r w:rsidRPr="00DD4815">
        <w:rPr>
          <w:lang w:val="nl-BE"/>
        </w:rPr>
        <w:t>.</w:t>
      </w:r>
    </w:p>
  </w:footnote>
  <w:footnote w:id="83">
    <w:p w14:paraId="581D720B" w14:textId="3FDD3288" w:rsidR="00617918" w:rsidRPr="00DD4815" w:rsidRDefault="00617918" w:rsidP="00B95CC5">
      <w:pPr>
        <w:pStyle w:val="FootnoteText"/>
        <w:jc w:val="both"/>
        <w:rPr>
          <w:lang w:val="nl-BE"/>
        </w:rPr>
      </w:pPr>
      <w:r w:rsidRPr="00DD4815">
        <w:rPr>
          <w:rStyle w:val="FootnoteReference"/>
          <w:lang w:val="nl-BE"/>
        </w:rPr>
        <w:t>83</w:t>
      </w:r>
      <w:r w:rsidRPr="00DD4815">
        <w:rPr>
          <w:lang w:val="nl-BE"/>
        </w:rPr>
        <w:t xml:space="preserve"> DOC 55 2141/001, pagina 87 e</w:t>
      </w:r>
      <w:r>
        <w:rPr>
          <w:lang w:val="nl-BE"/>
        </w:rPr>
        <w:t>.v.</w:t>
      </w:r>
    </w:p>
  </w:footnote>
  <w:footnote w:id="84">
    <w:p w14:paraId="663181D8" w14:textId="44631BFE" w:rsidR="00617918" w:rsidRPr="00DD4815" w:rsidRDefault="00617918" w:rsidP="00B95CC5">
      <w:pPr>
        <w:pStyle w:val="FootnoteText"/>
        <w:jc w:val="both"/>
        <w:rPr>
          <w:lang w:val="nl-BE"/>
        </w:rPr>
      </w:pPr>
      <w:r w:rsidRPr="00B95CC5">
        <w:rPr>
          <w:rStyle w:val="FootnoteReference"/>
          <w:lang w:val="nl-BE"/>
        </w:rPr>
        <w:t>84</w:t>
      </w:r>
      <w:r w:rsidRPr="00DD4815">
        <w:rPr>
          <w:lang w:val="nl-BE"/>
        </w:rPr>
        <w:t xml:space="preserve"> “</w:t>
      </w:r>
      <w:r w:rsidRPr="00DD4815">
        <w:rPr>
          <w:i/>
          <w:iCs/>
          <w:lang w:val="nl-BE"/>
        </w:rPr>
        <w:t>Het betreft seksuele afpersing van minder- of meerderjarigen waarbij daders hun slachtoffers overhalen om korte films met een seksuele connotatie te maken, handelingen met seksuele connotatie voor de webcam uit te voeren of foto’s te versturen via specifieke applicaties.</w:t>
      </w:r>
      <w:r w:rsidRPr="00DD4815">
        <w:rPr>
          <w:lang w:val="nl-BE"/>
        </w:rPr>
        <w:t xml:space="preserve"> </w:t>
      </w:r>
      <w:r w:rsidRPr="00DD4815">
        <w:rPr>
          <w:i/>
          <w:iCs/>
          <w:lang w:val="nl-BE"/>
        </w:rPr>
        <w:t>Onder bedreiging van de verspreiding van deze beelden worden slachtoffers vervolgens gedwongen om nog meer compromitterende beelden of geld over te maken.</w:t>
      </w:r>
      <w:r w:rsidRPr="00DD4815">
        <w:rPr>
          <w:lang w:val="nl-BE"/>
        </w:rPr>
        <w:t>” (DOC 55 2141/001, pagina 87).</w:t>
      </w:r>
    </w:p>
  </w:footnote>
  <w:footnote w:id="85">
    <w:p w14:paraId="0C730442" w14:textId="579AB144" w:rsidR="00617918" w:rsidRPr="00DD4815" w:rsidRDefault="00617918" w:rsidP="00B95CC5">
      <w:pPr>
        <w:pStyle w:val="FootnoteText"/>
        <w:jc w:val="both"/>
        <w:rPr>
          <w:lang w:val="nl-BE"/>
        </w:rPr>
      </w:pPr>
      <w:r w:rsidRPr="00B95CC5">
        <w:rPr>
          <w:rStyle w:val="FootnoteReference"/>
          <w:lang w:val="nl-BE"/>
        </w:rPr>
        <w:t>85</w:t>
      </w:r>
      <w:r w:rsidRPr="00DD4815">
        <w:rPr>
          <w:lang w:val="nl-BE"/>
        </w:rPr>
        <w:t xml:space="preserve"> “</w:t>
      </w:r>
      <w:r w:rsidRPr="00DD4815">
        <w:rPr>
          <w:i/>
          <w:iCs/>
          <w:lang w:val="nl-BE"/>
        </w:rPr>
        <w:t>het ongevraagd opsturen van beelden van genitaliën</w:t>
      </w:r>
      <w:r w:rsidRPr="00DD4815">
        <w:rPr>
          <w:lang w:val="nl-BE"/>
        </w:rPr>
        <w:t>” (DOC 55 2141/001, pagina 87).</w:t>
      </w:r>
    </w:p>
  </w:footnote>
  <w:footnote w:id="86">
    <w:p w14:paraId="623BECB5" w14:textId="2B04D10D" w:rsidR="00617918" w:rsidRPr="00DD4815" w:rsidRDefault="00617918" w:rsidP="00B95CC5">
      <w:pPr>
        <w:pStyle w:val="FootnoteText"/>
        <w:jc w:val="both"/>
        <w:rPr>
          <w:lang w:val="nl-BE"/>
        </w:rPr>
      </w:pPr>
      <w:r w:rsidRPr="00DD4815">
        <w:rPr>
          <w:rStyle w:val="FootnoteReference"/>
          <w:lang w:val="nl-BE"/>
        </w:rPr>
        <w:t>86</w:t>
      </w:r>
      <w:r w:rsidRPr="00DD4815">
        <w:rPr>
          <w:lang w:val="nl-BE"/>
        </w:rPr>
        <w:t xml:space="preserve"> DOC 55 2141/001, pagina 88.</w:t>
      </w:r>
    </w:p>
  </w:footnote>
  <w:footnote w:id="87">
    <w:p w14:paraId="6F3A7553" w14:textId="41882AEF" w:rsidR="00617918" w:rsidRPr="00B071FA" w:rsidRDefault="00617918" w:rsidP="003B1B88">
      <w:pPr>
        <w:jc w:val="both"/>
        <w:rPr>
          <w:sz w:val="20"/>
          <w:szCs w:val="20"/>
          <w:lang w:val="nl-NL"/>
        </w:rPr>
      </w:pPr>
      <w:r w:rsidRPr="003B1B88">
        <w:rPr>
          <w:rStyle w:val="FootnoteReference"/>
          <w:sz w:val="20"/>
          <w:szCs w:val="20"/>
          <w:lang w:val="nl-BE"/>
        </w:rPr>
        <w:t>87</w:t>
      </w:r>
      <w:r w:rsidRPr="003B1B88">
        <w:rPr>
          <w:lang w:val="nl-BE"/>
        </w:rPr>
        <w:t xml:space="preserve"> </w:t>
      </w:r>
      <w:r w:rsidRPr="003B1B88">
        <w:rPr>
          <w:sz w:val="20"/>
          <w:szCs w:val="20"/>
          <w:lang w:val="nl-BE"/>
        </w:rPr>
        <w:t xml:space="preserve">De uiteenzetting over de toepassing van de </w:t>
      </w:r>
      <w:r>
        <w:rPr>
          <w:sz w:val="20"/>
          <w:szCs w:val="20"/>
          <w:lang w:val="nl-BE"/>
        </w:rPr>
        <w:t>straf</w:t>
      </w:r>
      <w:r w:rsidRPr="003B1B88">
        <w:rPr>
          <w:sz w:val="20"/>
          <w:szCs w:val="20"/>
          <w:lang w:val="nl-BE"/>
        </w:rPr>
        <w:t xml:space="preserve">wet in de tijd is geïnspireerd door de studie van Franklin Kuty, </w:t>
      </w:r>
      <w:r w:rsidRPr="003B1B88">
        <w:rPr>
          <w:i/>
          <w:iCs/>
          <w:sz w:val="20"/>
          <w:szCs w:val="20"/>
          <w:lang w:val="nl-BE"/>
        </w:rPr>
        <w:t>Principes généraux de droit pénal belge</w:t>
      </w:r>
      <w:r w:rsidRPr="003B1B88">
        <w:rPr>
          <w:sz w:val="20"/>
          <w:szCs w:val="20"/>
          <w:lang w:val="nl-BE"/>
        </w:rPr>
        <w:t xml:space="preserve">, </w:t>
      </w:r>
      <w:r>
        <w:rPr>
          <w:sz w:val="20"/>
          <w:szCs w:val="20"/>
          <w:lang w:val="nl-BE"/>
        </w:rPr>
        <w:t>e</w:t>
      </w:r>
      <w:r w:rsidRPr="003B1B88">
        <w:rPr>
          <w:sz w:val="20"/>
          <w:szCs w:val="20"/>
          <w:lang w:val="nl-BE"/>
        </w:rPr>
        <w:t>ditie 2018, en de referenties die hierin geciteer</w:t>
      </w:r>
      <w:r>
        <w:rPr>
          <w:sz w:val="20"/>
          <w:szCs w:val="20"/>
          <w:lang w:val="nl-BE"/>
        </w:rPr>
        <w:t>d worden</w:t>
      </w:r>
      <w:r w:rsidRPr="003B1B88">
        <w:rPr>
          <w:sz w:val="20"/>
          <w:szCs w:val="20"/>
          <w:lang w:val="nl-BE"/>
        </w:rPr>
        <w:t xml:space="preserve">. Ook volgende beknopte en voorlopige documenten werden geraadpleegd: </w:t>
      </w:r>
      <w:r w:rsidRPr="003B1B88">
        <w:rPr>
          <w:i/>
          <w:iCs/>
          <w:sz w:val="20"/>
          <w:szCs w:val="20"/>
          <w:lang w:val="nl-BE"/>
        </w:rPr>
        <w:t>Principes de droit pénal</w:t>
      </w:r>
      <w:r w:rsidRPr="003B1B88">
        <w:rPr>
          <w:sz w:val="20"/>
          <w:szCs w:val="20"/>
          <w:lang w:val="nl-BE"/>
        </w:rPr>
        <w:t xml:space="preserve"> </w:t>
      </w:r>
      <w:r>
        <w:rPr>
          <w:sz w:val="20"/>
          <w:szCs w:val="20"/>
          <w:lang w:val="nl-BE"/>
        </w:rPr>
        <w:t xml:space="preserve">- </w:t>
      </w:r>
      <w:r w:rsidRPr="003B1B88">
        <w:rPr>
          <w:sz w:val="20"/>
          <w:szCs w:val="20"/>
          <w:lang w:val="nl-BE"/>
        </w:rPr>
        <w:t>Olivier Michiels e</w:t>
      </w:r>
      <w:r>
        <w:rPr>
          <w:sz w:val="20"/>
          <w:szCs w:val="20"/>
          <w:lang w:val="nl-BE"/>
        </w:rPr>
        <w:t>n</w:t>
      </w:r>
      <w:r w:rsidRPr="003B1B88">
        <w:rPr>
          <w:sz w:val="20"/>
          <w:szCs w:val="20"/>
          <w:lang w:val="nl-BE"/>
        </w:rPr>
        <w:t xml:space="preserve"> Elodie Jacques</w:t>
      </w:r>
      <w:r>
        <w:rPr>
          <w:sz w:val="20"/>
          <w:szCs w:val="20"/>
          <w:lang w:val="nl-BE"/>
        </w:rPr>
        <w:t>,</w:t>
      </w:r>
      <w:r w:rsidRPr="003B1B88">
        <w:rPr>
          <w:sz w:val="20"/>
          <w:szCs w:val="20"/>
          <w:lang w:val="nl-BE"/>
        </w:rPr>
        <w:t xml:space="preserve"> 2015-2016 e</w:t>
      </w:r>
      <w:r>
        <w:rPr>
          <w:sz w:val="20"/>
          <w:szCs w:val="20"/>
          <w:lang w:val="nl-BE"/>
        </w:rPr>
        <w:t>n</w:t>
      </w:r>
      <w:r w:rsidRPr="003B1B88">
        <w:rPr>
          <w:sz w:val="20"/>
          <w:szCs w:val="20"/>
          <w:lang w:val="nl-BE"/>
        </w:rPr>
        <w:t xml:space="preserve"> </w:t>
      </w:r>
      <w:r w:rsidRPr="00DB4C7B">
        <w:rPr>
          <w:i/>
          <w:iCs/>
          <w:sz w:val="20"/>
          <w:szCs w:val="20"/>
          <w:lang w:val="nl-BE"/>
        </w:rPr>
        <w:t>Introduction au droit pénal</w:t>
      </w:r>
      <w:r w:rsidRPr="003B1B88">
        <w:rPr>
          <w:sz w:val="20"/>
          <w:szCs w:val="20"/>
          <w:lang w:val="nl-BE"/>
        </w:rPr>
        <w:t xml:space="preserve"> - Van de Kerchove, Cartuyvels, Guillain e</w:t>
      </w:r>
      <w:r>
        <w:rPr>
          <w:sz w:val="20"/>
          <w:szCs w:val="20"/>
          <w:lang w:val="nl-BE"/>
        </w:rPr>
        <w:t>n</w:t>
      </w:r>
      <w:r w:rsidRPr="003B1B88">
        <w:rPr>
          <w:sz w:val="20"/>
          <w:szCs w:val="20"/>
          <w:lang w:val="nl-BE"/>
        </w:rPr>
        <w:t xml:space="preserve"> Tulkens</w:t>
      </w:r>
      <w:r>
        <w:rPr>
          <w:sz w:val="20"/>
          <w:szCs w:val="20"/>
          <w:lang w:val="nl-BE"/>
        </w:rPr>
        <w:t xml:space="preserve">, </w:t>
      </w:r>
      <w:r w:rsidRPr="003B1B88">
        <w:rPr>
          <w:sz w:val="20"/>
          <w:szCs w:val="20"/>
          <w:lang w:val="nl-BE"/>
        </w:rPr>
        <w:t xml:space="preserve">2014. </w:t>
      </w:r>
      <w:r>
        <w:rPr>
          <w:sz w:val="20"/>
          <w:szCs w:val="20"/>
          <w:lang w:val="nl-NL"/>
        </w:rPr>
        <w:t>Zie ook:</w:t>
      </w:r>
      <w:r w:rsidRPr="00B071FA">
        <w:rPr>
          <w:sz w:val="20"/>
          <w:szCs w:val="20"/>
          <w:lang w:val="nl-NL"/>
        </w:rPr>
        <w:t xml:space="preserve"> Herman F</w:t>
      </w:r>
      <w:r>
        <w:rPr>
          <w:sz w:val="20"/>
          <w:szCs w:val="20"/>
          <w:lang w:val="nl-NL"/>
        </w:rPr>
        <w:t xml:space="preserve">ransen, </w:t>
      </w:r>
      <w:r w:rsidRPr="00DB4C7B">
        <w:rPr>
          <w:i/>
          <w:iCs/>
          <w:sz w:val="20"/>
          <w:szCs w:val="20"/>
          <w:lang w:val="nl-NL"/>
        </w:rPr>
        <w:t xml:space="preserve">Werking van de strafwet in de tijd </w:t>
      </w:r>
      <w:r w:rsidRPr="00B071FA">
        <w:rPr>
          <w:sz w:val="20"/>
          <w:szCs w:val="20"/>
          <w:lang w:val="nl-NL"/>
        </w:rPr>
        <w:t>(</w:t>
      </w:r>
      <w:r>
        <w:rPr>
          <w:sz w:val="20"/>
          <w:szCs w:val="20"/>
          <w:lang w:val="nl-NL"/>
        </w:rPr>
        <w:t>Postal memorialis 2017).</w:t>
      </w:r>
    </w:p>
    <w:p w14:paraId="30B3E957" w14:textId="77777777" w:rsidR="00617918" w:rsidRPr="00B071FA" w:rsidRDefault="00617918">
      <w:pPr>
        <w:pStyle w:val="FootnoteText"/>
        <w:rPr>
          <w:lang w:val="nl-NL"/>
        </w:rPr>
      </w:pPr>
    </w:p>
  </w:footnote>
  <w:footnote w:id="88">
    <w:p w14:paraId="1F14D859" w14:textId="0A9F7032" w:rsidR="00617918" w:rsidRPr="00BF3AEF" w:rsidRDefault="00617918" w:rsidP="00BF3AEF">
      <w:pPr>
        <w:spacing w:after="0"/>
        <w:jc w:val="both"/>
        <w:rPr>
          <w:rFonts w:cstheme="minorHAnsi"/>
          <w:sz w:val="20"/>
          <w:szCs w:val="20"/>
          <w:lang w:val="nl-BE"/>
        </w:rPr>
      </w:pPr>
      <w:r w:rsidRPr="00BF3AEF">
        <w:rPr>
          <w:rStyle w:val="FootnoteReference"/>
          <w:sz w:val="20"/>
          <w:szCs w:val="20"/>
          <w:lang w:val="nl-BE"/>
        </w:rPr>
        <w:t>88</w:t>
      </w:r>
      <w:r w:rsidRPr="00BF3AEF">
        <w:rPr>
          <w:lang w:val="nl-BE"/>
        </w:rPr>
        <w:t xml:space="preserve"> </w:t>
      </w:r>
      <w:r w:rsidRPr="00BF3AEF">
        <w:rPr>
          <w:sz w:val="20"/>
          <w:szCs w:val="20"/>
          <w:lang w:val="nl-BE"/>
        </w:rPr>
        <w:t xml:space="preserve">Het kan onder meer om volgende beslissingen gaan: Wanneer verschillende strafbare feiten een collectief </w:t>
      </w:r>
      <w:r>
        <w:rPr>
          <w:sz w:val="20"/>
          <w:szCs w:val="20"/>
          <w:lang w:val="nl-BE"/>
        </w:rPr>
        <w:t>misdrijf</w:t>
      </w:r>
      <w:r w:rsidRPr="00BF3AEF">
        <w:rPr>
          <w:sz w:val="20"/>
          <w:szCs w:val="20"/>
          <w:lang w:val="nl-BE"/>
        </w:rPr>
        <w:t xml:space="preserve"> vormen door de eenheid van opzet en om die reden aanleiding geven tot de toepassing van één enkele straf, maar tijdens het plegen van deze strafbare feiten de wet houdende de toepasselijke straf is gewijzigd, moet de in de nieuwe wet vastgestelde straf worden toegepast, zelfs indien de straf die </w:t>
      </w:r>
      <w:r>
        <w:rPr>
          <w:sz w:val="20"/>
          <w:szCs w:val="20"/>
          <w:lang w:val="nl-BE"/>
        </w:rPr>
        <w:t>gold</w:t>
      </w:r>
      <w:r w:rsidRPr="00BF3AEF">
        <w:rPr>
          <w:sz w:val="20"/>
          <w:szCs w:val="20"/>
          <w:lang w:val="nl-BE"/>
        </w:rPr>
        <w:t xml:space="preserve"> op de datum van het eerste </w:t>
      </w:r>
      <w:r>
        <w:rPr>
          <w:sz w:val="20"/>
          <w:szCs w:val="20"/>
          <w:lang w:val="nl-BE"/>
        </w:rPr>
        <w:t>misdrijf</w:t>
      </w:r>
      <w:r w:rsidRPr="00BF3AEF">
        <w:rPr>
          <w:sz w:val="20"/>
          <w:szCs w:val="20"/>
          <w:lang w:val="nl-BE"/>
        </w:rPr>
        <w:t xml:space="preserve"> minder streng was dan de straf die </w:t>
      </w:r>
      <w:r>
        <w:rPr>
          <w:sz w:val="20"/>
          <w:szCs w:val="20"/>
          <w:lang w:val="nl-BE"/>
        </w:rPr>
        <w:t>van toepassing was</w:t>
      </w:r>
      <w:r w:rsidRPr="00BF3AEF">
        <w:rPr>
          <w:sz w:val="20"/>
          <w:szCs w:val="20"/>
          <w:lang w:val="nl-BE"/>
        </w:rPr>
        <w:t xml:space="preserve"> op de datum van </w:t>
      </w:r>
      <w:r>
        <w:rPr>
          <w:sz w:val="20"/>
          <w:szCs w:val="20"/>
          <w:lang w:val="nl-BE"/>
        </w:rPr>
        <w:t xml:space="preserve">inwerkingtreding van </w:t>
      </w:r>
      <w:r w:rsidRPr="00BF3AEF">
        <w:rPr>
          <w:sz w:val="20"/>
          <w:szCs w:val="20"/>
          <w:lang w:val="nl-BE"/>
        </w:rPr>
        <w:t>de nieuwe wet</w:t>
      </w:r>
      <w:r>
        <w:rPr>
          <w:sz w:val="20"/>
          <w:szCs w:val="20"/>
          <w:lang w:val="nl-BE"/>
        </w:rPr>
        <w:t>. (</w:t>
      </w:r>
      <w:r w:rsidRPr="00BF3AEF">
        <w:rPr>
          <w:rFonts w:cstheme="minorHAnsi"/>
          <w:sz w:val="20"/>
          <w:szCs w:val="20"/>
          <w:lang w:val="nl-BE"/>
        </w:rPr>
        <w:t xml:space="preserve">Cass. 22 oktober 2003, </w:t>
      </w:r>
      <w:r w:rsidRPr="00BF3AEF">
        <w:rPr>
          <w:rStyle w:val="decisionligne1"/>
          <w:rFonts w:cstheme="minorHAnsi"/>
          <w:sz w:val="20"/>
          <w:szCs w:val="20"/>
          <w:lang w:val="nl-BE"/>
        </w:rPr>
        <w:t xml:space="preserve">P030084F (verbeurdverklaring); </w:t>
      </w:r>
      <w:r w:rsidRPr="00BF3AEF">
        <w:rPr>
          <w:rFonts w:cstheme="minorHAnsi"/>
          <w:sz w:val="20"/>
          <w:szCs w:val="20"/>
          <w:lang w:val="nl-BE"/>
        </w:rPr>
        <w:t>Cass., 17 mei 1983, RG 7915, nr. 513; Cass. 7 mei 2002, RG P.02.0308.N (witwassen)</w:t>
      </w:r>
      <w:r>
        <w:rPr>
          <w:rFonts w:cstheme="minorHAnsi"/>
          <w:sz w:val="20"/>
          <w:szCs w:val="20"/>
          <w:lang w:val="nl-BE"/>
        </w:rPr>
        <w:t>)</w:t>
      </w:r>
      <w:r w:rsidRPr="00BF3AEF">
        <w:rPr>
          <w:rFonts w:cstheme="minorHAnsi"/>
          <w:sz w:val="20"/>
          <w:szCs w:val="20"/>
          <w:lang w:val="nl-BE"/>
        </w:rPr>
        <w:t>;</w:t>
      </w:r>
    </w:p>
    <w:p w14:paraId="7DBC87CC" w14:textId="0E4C52D5" w:rsidR="00617918" w:rsidRDefault="00617918" w:rsidP="006E77AB">
      <w:pPr>
        <w:jc w:val="both"/>
        <w:rPr>
          <w:rFonts w:cstheme="minorHAnsi"/>
          <w:sz w:val="20"/>
          <w:szCs w:val="20"/>
          <w:lang w:val="nl-BE"/>
        </w:rPr>
      </w:pPr>
      <w:r w:rsidRPr="00317ABE">
        <w:rPr>
          <w:rFonts w:cstheme="minorHAnsi"/>
          <w:sz w:val="20"/>
          <w:szCs w:val="20"/>
          <w:lang w:val="nl-BE"/>
        </w:rPr>
        <w:t>In het geval van een collectief strafbaar feit, dat zich uitstrekt over twee rechtsstelsels, met een eenheid van opzet die één enkele straf rechtvaardigt, is de nieuwe wet van toepassing, ook al is deze strenger dan de oude wet. (Cass</w:t>
      </w:r>
      <w:r>
        <w:rPr>
          <w:rFonts w:cstheme="minorHAnsi"/>
          <w:sz w:val="20"/>
          <w:szCs w:val="20"/>
          <w:lang w:val="nl-BE"/>
        </w:rPr>
        <w:t>.</w:t>
      </w:r>
      <w:r w:rsidRPr="00317ABE">
        <w:rPr>
          <w:rFonts w:cstheme="minorHAnsi"/>
          <w:sz w:val="20"/>
          <w:szCs w:val="20"/>
          <w:lang w:val="nl-BE"/>
        </w:rPr>
        <w:t xml:space="preserve"> 4 november 2015, P.15.0682.F. (opdeciemen); </w:t>
      </w:r>
      <w:r w:rsidRPr="00317ABE">
        <w:rPr>
          <w:rFonts w:cstheme="minorHAnsi"/>
          <w:color w:val="000000"/>
          <w:sz w:val="20"/>
          <w:szCs w:val="20"/>
          <w:shd w:val="clear" w:color="auto" w:fill="FFFFFF"/>
          <w:lang w:val="nl-BE"/>
        </w:rPr>
        <w:t>Wanneer twee opeenvolgende gelijkaardige misdrijven een enkele strafbare gedraging opleveren en derhalve tot één enkele straf aanleiding geven, maar in de tijd tussen het plegen van de twee misdrijven de wet die de straf bepaalt, gewijzigd werd, moet de bij de nieuwe wet gestelde straf worden toegepast, ook al was de ten tijde van het eerste misdrijf geldende straf minder zwaar dan die gesteld ten tijde van het tweede (Art. 2 Sw. en de regel neergelegd in art. 65 Sw.); daardoor wordt noch art. 9 Gw. noch art. 7, lid 1, laatste zin, Verdrag Rechten van de Mens geschonden</w:t>
      </w:r>
      <w:r>
        <w:rPr>
          <w:rFonts w:cstheme="minorHAnsi"/>
          <w:color w:val="000000"/>
          <w:sz w:val="20"/>
          <w:szCs w:val="20"/>
          <w:shd w:val="clear" w:color="auto" w:fill="FFFFFF"/>
          <w:lang w:val="nl-BE"/>
        </w:rPr>
        <w:t>.</w:t>
      </w:r>
      <w:r w:rsidRPr="00BF3AEF">
        <w:rPr>
          <w:sz w:val="20"/>
          <w:szCs w:val="20"/>
          <w:lang w:val="nl-BE"/>
        </w:rPr>
        <w:t xml:space="preserve"> </w:t>
      </w:r>
      <w:r>
        <w:rPr>
          <w:sz w:val="20"/>
          <w:szCs w:val="20"/>
          <w:lang w:val="nl-BE"/>
        </w:rPr>
        <w:t>(</w:t>
      </w:r>
      <w:r w:rsidRPr="00BF3AEF">
        <w:rPr>
          <w:rFonts w:cstheme="minorHAnsi"/>
          <w:sz w:val="20"/>
          <w:szCs w:val="20"/>
          <w:lang w:val="nl-BE"/>
        </w:rPr>
        <w:t>Cass., 17 m</w:t>
      </w:r>
      <w:r>
        <w:rPr>
          <w:rFonts w:cstheme="minorHAnsi"/>
          <w:sz w:val="20"/>
          <w:szCs w:val="20"/>
          <w:lang w:val="nl-BE"/>
        </w:rPr>
        <w:t>e</w:t>
      </w:r>
      <w:r w:rsidRPr="00BF3AEF">
        <w:rPr>
          <w:rFonts w:cstheme="minorHAnsi"/>
          <w:sz w:val="20"/>
          <w:szCs w:val="20"/>
          <w:lang w:val="nl-BE"/>
        </w:rPr>
        <w:t>i 1983, RG 7915, n</w:t>
      </w:r>
      <w:r>
        <w:rPr>
          <w:rFonts w:cstheme="minorHAnsi"/>
          <w:sz w:val="20"/>
          <w:szCs w:val="20"/>
          <w:lang w:val="nl-BE"/>
        </w:rPr>
        <w:t>r.</w:t>
      </w:r>
      <w:r w:rsidRPr="00BF3AEF">
        <w:rPr>
          <w:rFonts w:cstheme="minorHAnsi"/>
          <w:sz w:val="20"/>
          <w:szCs w:val="20"/>
          <w:lang w:val="nl-BE"/>
        </w:rPr>
        <w:t xml:space="preserve"> 513</w:t>
      </w:r>
      <w:r>
        <w:rPr>
          <w:rFonts w:cstheme="minorHAnsi"/>
          <w:sz w:val="20"/>
          <w:szCs w:val="20"/>
          <w:lang w:val="nl-BE"/>
        </w:rPr>
        <w:t>).</w:t>
      </w:r>
    </w:p>
    <w:p w14:paraId="7CAF556A" w14:textId="77777777" w:rsidR="00617918" w:rsidRPr="00BF3AEF" w:rsidRDefault="00617918" w:rsidP="006E77AB">
      <w:pPr>
        <w:jc w:val="both"/>
        <w:rPr>
          <w:rFonts w:cstheme="minorHAnsi"/>
          <w:sz w:val="20"/>
          <w:szCs w:val="20"/>
          <w:lang w:val="nl-BE"/>
        </w:rPr>
      </w:pPr>
    </w:p>
    <w:p w14:paraId="44B2A986" w14:textId="77777777" w:rsidR="00617918" w:rsidRPr="00BF3AEF" w:rsidRDefault="00617918" w:rsidP="00D37ED8">
      <w:pPr>
        <w:rPr>
          <w:sz w:val="20"/>
          <w:szCs w:val="20"/>
          <w:lang w:val="nl-BE"/>
        </w:rPr>
      </w:pPr>
    </w:p>
    <w:p w14:paraId="151E62CF" w14:textId="77777777" w:rsidR="00617918" w:rsidRPr="00BF3AEF" w:rsidRDefault="00617918">
      <w:pPr>
        <w:pStyle w:val="FootnoteTex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A917" w14:textId="77777777" w:rsidR="00617918" w:rsidRPr="00AD3332" w:rsidRDefault="00617918" w:rsidP="00AD3332">
    <w:pPr>
      <w:spacing w:after="0" w:line="240" w:lineRule="auto"/>
      <w:rPr>
        <w:rFonts w:ascii="Times New Roman" w:eastAsia="Times New Roman" w:hAnsi="Times New Roman" w:cs="Times New Roman"/>
        <w:sz w:val="24"/>
        <w:szCs w:val="24"/>
      </w:rPr>
    </w:pPr>
  </w:p>
  <w:p w14:paraId="4A2DBD68" w14:textId="0E7E6A53" w:rsidR="00617918" w:rsidRPr="00AD3332" w:rsidRDefault="00617918" w:rsidP="00AD3332">
    <w:pPr>
      <w:spacing w:after="0" w:line="240" w:lineRule="auto"/>
      <w:rPr>
        <w:rFonts w:ascii="Times New Roman" w:eastAsia="Times New Roman" w:hAnsi="Times New Roman" w:cs="Times New Roman"/>
        <w:sz w:val="24"/>
        <w:szCs w:val="24"/>
      </w:rPr>
    </w:pPr>
    <w:r>
      <w:rPr>
        <w:noProof/>
        <w:lang w:eastAsia="en-GB"/>
      </w:rPr>
      <w:drawing>
        <wp:anchor distT="0" distB="0" distL="114300" distR="114300" simplePos="0" relativeHeight="251661312" behindDoc="1" locked="1" layoutInCell="1" allowOverlap="1" wp14:anchorId="22C1A029" wp14:editId="78D9904E">
          <wp:simplePos x="0" y="0"/>
          <wp:positionH relativeFrom="margin">
            <wp:align>center</wp:align>
          </wp:positionH>
          <wp:positionV relativeFrom="topMargin">
            <wp:posOffset>635000</wp:posOffset>
          </wp:positionV>
          <wp:extent cx="1468755" cy="646430"/>
          <wp:effectExtent l="0" t="0" r="0" b="1270"/>
          <wp:wrapNone/>
          <wp:docPr id="15" name="Image 4" descr="OM_2ta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2tal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827C1" w14:textId="77777777" w:rsidR="00617918" w:rsidRPr="00AD3332" w:rsidRDefault="00617918" w:rsidP="00AD3332">
    <w:pPr>
      <w:spacing w:after="0" w:line="240" w:lineRule="auto"/>
      <w:rPr>
        <w:rFonts w:ascii="Times New Roman" w:eastAsia="Times New Roman" w:hAnsi="Times New Roman" w:cs="Times New Roman"/>
        <w:sz w:val="24"/>
        <w:szCs w:val="24"/>
      </w:rPr>
    </w:pPr>
  </w:p>
  <w:p w14:paraId="34AA0350" w14:textId="77777777" w:rsidR="00617918" w:rsidRPr="00AD3332" w:rsidRDefault="00617918" w:rsidP="00AD3332">
    <w:pPr>
      <w:spacing w:after="0" w:line="240" w:lineRule="auto"/>
      <w:rPr>
        <w:rFonts w:ascii="Times New Roman" w:eastAsia="Times New Roman" w:hAnsi="Times New Roman" w:cs="Times New Roman"/>
        <w:sz w:val="24"/>
        <w:szCs w:val="24"/>
      </w:rPr>
    </w:pPr>
    <w:r w:rsidRPr="00AD3332">
      <w:rPr>
        <w:rFonts w:ascii="Times New Roman" w:eastAsia="Times New Roman" w:hAnsi="Times New Roman" w:cs="Times New Roman"/>
        <w:noProof/>
        <w:sz w:val="24"/>
        <w:szCs w:val="24"/>
        <w:lang w:eastAsia="en-GB"/>
      </w:rPr>
      <w:drawing>
        <wp:anchor distT="0" distB="0" distL="114300" distR="114300" simplePos="0" relativeHeight="251659264" behindDoc="1" locked="1" layoutInCell="1" allowOverlap="1" wp14:anchorId="399637AA" wp14:editId="52E25231">
          <wp:simplePos x="0" y="0"/>
          <wp:positionH relativeFrom="page">
            <wp:posOffset>828040</wp:posOffset>
          </wp:positionH>
          <wp:positionV relativeFrom="page">
            <wp:posOffset>1296035</wp:posOffset>
          </wp:positionV>
          <wp:extent cx="5911215" cy="228600"/>
          <wp:effectExtent l="0" t="0" r="0" b="0"/>
          <wp:wrapNone/>
          <wp:docPr id="16" name="Image 3" descr="2haak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haakje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21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DD2A0" w14:textId="77777777" w:rsidR="00617918" w:rsidRPr="00AD3332" w:rsidRDefault="00617918" w:rsidP="00AD3332">
    <w:pPr>
      <w:spacing w:after="0" w:line="240" w:lineRule="auto"/>
      <w:rPr>
        <w:rFonts w:ascii="Times New Roman" w:eastAsia="Times New Roman" w:hAnsi="Times New Roman" w:cs="Times New Roman"/>
        <w:sz w:val="24"/>
        <w:szCs w:val="24"/>
      </w:rPr>
    </w:pPr>
  </w:p>
  <w:p w14:paraId="1C5E73FF" w14:textId="77777777" w:rsidR="00617918" w:rsidRDefault="00617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356"/>
    <w:multiLevelType w:val="hybridMultilevel"/>
    <w:tmpl w:val="90BAD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F339A"/>
    <w:multiLevelType w:val="hybridMultilevel"/>
    <w:tmpl w:val="F7A401C2"/>
    <w:lvl w:ilvl="0" w:tplc="F5A8C7A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3064AC"/>
    <w:multiLevelType w:val="hybridMultilevel"/>
    <w:tmpl w:val="11D20F56"/>
    <w:lvl w:ilvl="0" w:tplc="A558BE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E378F"/>
    <w:multiLevelType w:val="hybridMultilevel"/>
    <w:tmpl w:val="6A9433EC"/>
    <w:lvl w:ilvl="0" w:tplc="E918DBB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4D00B4"/>
    <w:multiLevelType w:val="hybridMultilevel"/>
    <w:tmpl w:val="F086F4D2"/>
    <w:lvl w:ilvl="0" w:tplc="0C64B8D8">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E6060EA"/>
    <w:multiLevelType w:val="hybridMultilevel"/>
    <w:tmpl w:val="B2CCB24E"/>
    <w:lvl w:ilvl="0" w:tplc="190E7EDE">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D7D04"/>
    <w:multiLevelType w:val="hybridMultilevel"/>
    <w:tmpl w:val="AA38AFE2"/>
    <w:lvl w:ilvl="0" w:tplc="E918DB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C33CD"/>
    <w:multiLevelType w:val="hybridMultilevel"/>
    <w:tmpl w:val="C3089698"/>
    <w:lvl w:ilvl="0" w:tplc="074671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3729D"/>
    <w:multiLevelType w:val="hybridMultilevel"/>
    <w:tmpl w:val="7AAEC720"/>
    <w:lvl w:ilvl="0" w:tplc="C45CA9A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ECC50D3"/>
    <w:multiLevelType w:val="hybridMultilevel"/>
    <w:tmpl w:val="263E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063A9"/>
    <w:multiLevelType w:val="hybridMultilevel"/>
    <w:tmpl w:val="1336530E"/>
    <w:lvl w:ilvl="0" w:tplc="5BA0A206">
      <w:start w:val="1"/>
      <w:numFmt w:val="upperRoman"/>
      <w:lvlText w:val="%1."/>
      <w:lvlJc w:val="left"/>
      <w:pPr>
        <w:ind w:left="1080" w:hanging="720"/>
      </w:pPr>
      <w:rPr>
        <w:rFonts w:hint="default"/>
      </w:rPr>
    </w:lvl>
    <w:lvl w:ilvl="1" w:tplc="458ED314">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4AFE7D4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A6720"/>
    <w:multiLevelType w:val="hybridMultilevel"/>
    <w:tmpl w:val="247E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52EF0"/>
    <w:multiLevelType w:val="hybridMultilevel"/>
    <w:tmpl w:val="D6C608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4E052D2"/>
    <w:multiLevelType w:val="hybridMultilevel"/>
    <w:tmpl w:val="F8E27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98759A"/>
    <w:multiLevelType w:val="hybridMultilevel"/>
    <w:tmpl w:val="AD2048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A07EF"/>
    <w:multiLevelType w:val="hybridMultilevel"/>
    <w:tmpl w:val="809C740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 w15:restartNumberingAfterBreak="0">
    <w:nsid w:val="5C6A211E"/>
    <w:multiLevelType w:val="hybridMultilevel"/>
    <w:tmpl w:val="481A5BDC"/>
    <w:lvl w:ilvl="0" w:tplc="E918DB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A7285"/>
    <w:multiLevelType w:val="hybridMultilevel"/>
    <w:tmpl w:val="446EBDC4"/>
    <w:lvl w:ilvl="0" w:tplc="9A4619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1A2B0D"/>
    <w:multiLevelType w:val="hybridMultilevel"/>
    <w:tmpl w:val="7346A1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C45CA9AA">
      <w:numFmt w:val="bullet"/>
      <w:lvlText w:val="-"/>
      <w:lvlJc w:val="left"/>
      <w:pPr>
        <w:ind w:left="3600" w:hanging="360"/>
      </w:pPr>
      <w:rPr>
        <w:rFonts w:ascii="Calibri" w:eastAsiaTheme="minorHAnsi"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D7D05"/>
    <w:multiLevelType w:val="hybridMultilevel"/>
    <w:tmpl w:val="243C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83A3F"/>
    <w:multiLevelType w:val="hybridMultilevel"/>
    <w:tmpl w:val="A04859E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1" w15:restartNumberingAfterBreak="0">
    <w:nsid w:val="74C91520"/>
    <w:multiLevelType w:val="hybridMultilevel"/>
    <w:tmpl w:val="4BF42D0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2" w15:restartNumberingAfterBreak="0">
    <w:nsid w:val="7CA053F0"/>
    <w:multiLevelType w:val="hybridMultilevel"/>
    <w:tmpl w:val="DCE4CC48"/>
    <w:lvl w:ilvl="0" w:tplc="C45CA9AA">
      <w:numFmt w:val="bullet"/>
      <w:lvlText w:val="-"/>
      <w:lvlJc w:val="left"/>
      <w:pPr>
        <w:ind w:left="3600" w:hanging="360"/>
      </w:pPr>
      <w:rPr>
        <w:rFonts w:ascii="Calibri" w:eastAsiaTheme="minorHAnsi" w:hAnsi="Calibri" w:cs="Calibri"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0"/>
  </w:num>
  <w:num w:numId="2">
    <w:abstractNumId w:val="9"/>
  </w:num>
  <w:num w:numId="3">
    <w:abstractNumId w:val="7"/>
  </w:num>
  <w:num w:numId="4">
    <w:abstractNumId w:val="11"/>
  </w:num>
  <w:num w:numId="5">
    <w:abstractNumId w:val="4"/>
  </w:num>
  <w:num w:numId="6">
    <w:abstractNumId w:val="18"/>
  </w:num>
  <w:num w:numId="7">
    <w:abstractNumId w:val="1"/>
  </w:num>
  <w:num w:numId="8">
    <w:abstractNumId w:val="8"/>
  </w:num>
  <w:num w:numId="9">
    <w:abstractNumId w:val="2"/>
  </w:num>
  <w:num w:numId="10">
    <w:abstractNumId w:val="13"/>
  </w:num>
  <w:num w:numId="11">
    <w:abstractNumId w:val="19"/>
  </w:num>
  <w:num w:numId="12">
    <w:abstractNumId w:val="2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num>
  <w:num w:numId="22">
    <w:abstractNumId w:val="17"/>
  </w:num>
  <w:num w:numId="23">
    <w:abstractNumId w:val="3"/>
  </w:num>
  <w:num w:numId="24">
    <w:abstractNumId w:val="6"/>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70"/>
    <w:rsid w:val="000042F5"/>
    <w:rsid w:val="00012508"/>
    <w:rsid w:val="000138C1"/>
    <w:rsid w:val="0001590A"/>
    <w:rsid w:val="00016B4A"/>
    <w:rsid w:val="00016DBC"/>
    <w:rsid w:val="00020799"/>
    <w:rsid w:val="00020D76"/>
    <w:rsid w:val="00022C32"/>
    <w:rsid w:val="0002514B"/>
    <w:rsid w:val="00025DA7"/>
    <w:rsid w:val="00032B37"/>
    <w:rsid w:val="000343AC"/>
    <w:rsid w:val="00035585"/>
    <w:rsid w:val="00037073"/>
    <w:rsid w:val="00044D70"/>
    <w:rsid w:val="0004679C"/>
    <w:rsid w:val="00054A04"/>
    <w:rsid w:val="00055403"/>
    <w:rsid w:val="00060D1D"/>
    <w:rsid w:val="00062910"/>
    <w:rsid w:val="000634A4"/>
    <w:rsid w:val="00065B31"/>
    <w:rsid w:val="000678A8"/>
    <w:rsid w:val="00074CDF"/>
    <w:rsid w:val="00075650"/>
    <w:rsid w:val="000756F7"/>
    <w:rsid w:val="00080C42"/>
    <w:rsid w:val="00082069"/>
    <w:rsid w:val="00083471"/>
    <w:rsid w:val="00084D04"/>
    <w:rsid w:val="000872F7"/>
    <w:rsid w:val="00090625"/>
    <w:rsid w:val="00097D4A"/>
    <w:rsid w:val="000A3066"/>
    <w:rsid w:val="000A5398"/>
    <w:rsid w:val="000B0421"/>
    <w:rsid w:val="000B0981"/>
    <w:rsid w:val="000B1ADB"/>
    <w:rsid w:val="000C0BD9"/>
    <w:rsid w:val="000D2D02"/>
    <w:rsid w:val="000E0EDB"/>
    <w:rsid w:val="000E1269"/>
    <w:rsid w:val="000E6096"/>
    <w:rsid w:val="000E65DB"/>
    <w:rsid w:val="000F43CF"/>
    <w:rsid w:val="0010034A"/>
    <w:rsid w:val="001034AF"/>
    <w:rsid w:val="00121BC8"/>
    <w:rsid w:val="00122557"/>
    <w:rsid w:val="00122FDF"/>
    <w:rsid w:val="00123A63"/>
    <w:rsid w:val="00125B3E"/>
    <w:rsid w:val="00127C37"/>
    <w:rsid w:val="001330C1"/>
    <w:rsid w:val="00137360"/>
    <w:rsid w:val="00140E60"/>
    <w:rsid w:val="001416D3"/>
    <w:rsid w:val="00142A78"/>
    <w:rsid w:val="001438C2"/>
    <w:rsid w:val="00147EDB"/>
    <w:rsid w:val="001506A1"/>
    <w:rsid w:val="001513B9"/>
    <w:rsid w:val="00151800"/>
    <w:rsid w:val="00152D20"/>
    <w:rsid w:val="0015562D"/>
    <w:rsid w:val="00156260"/>
    <w:rsid w:val="00160111"/>
    <w:rsid w:val="00171C05"/>
    <w:rsid w:val="00172E85"/>
    <w:rsid w:val="00180D8F"/>
    <w:rsid w:val="00181773"/>
    <w:rsid w:val="00181AD3"/>
    <w:rsid w:val="00187FFC"/>
    <w:rsid w:val="00190C33"/>
    <w:rsid w:val="00193321"/>
    <w:rsid w:val="001946B2"/>
    <w:rsid w:val="001A3A23"/>
    <w:rsid w:val="001A49DB"/>
    <w:rsid w:val="001A65AB"/>
    <w:rsid w:val="001A7260"/>
    <w:rsid w:val="001A76F9"/>
    <w:rsid w:val="001B1C24"/>
    <w:rsid w:val="001B338C"/>
    <w:rsid w:val="001B528F"/>
    <w:rsid w:val="001B7C17"/>
    <w:rsid w:val="001C6BF9"/>
    <w:rsid w:val="001D01F9"/>
    <w:rsid w:val="001D0677"/>
    <w:rsid w:val="001D4CF9"/>
    <w:rsid w:val="001E0AA8"/>
    <w:rsid w:val="001E16E2"/>
    <w:rsid w:val="001F18E4"/>
    <w:rsid w:val="001F1DB4"/>
    <w:rsid w:val="001F3396"/>
    <w:rsid w:val="00203A1F"/>
    <w:rsid w:val="00204753"/>
    <w:rsid w:val="002047F2"/>
    <w:rsid w:val="00204D63"/>
    <w:rsid w:val="002065D2"/>
    <w:rsid w:val="00212F5D"/>
    <w:rsid w:val="0021471C"/>
    <w:rsid w:val="00220546"/>
    <w:rsid w:val="00237792"/>
    <w:rsid w:val="00240A9B"/>
    <w:rsid w:val="00241792"/>
    <w:rsid w:val="002453FC"/>
    <w:rsid w:val="00250C86"/>
    <w:rsid w:val="002615A3"/>
    <w:rsid w:val="00262ADC"/>
    <w:rsid w:val="00264412"/>
    <w:rsid w:val="00272268"/>
    <w:rsid w:val="002736C0"/>
    <w:rsid w:val="00277AA0"/>
    <w:rsid w:val="00286DEB"/>
    <w:rsid w:val="00290964"/>
    <w:rsid w:val="00293020"/>
    <w:rsid w:val="002949AF"/>
    <w:rsid w:val="0029631A"/>
    <w:rsid w:val="00296486"/>
    <w:rsid w:val="002979E8"/>
    <w:rsid w:val="002A673A"/>
    <w:rsid w:val="002B0732"/>
    <w:rsid w:val="002B3EE3"/>
    <w:rsid w:val="002B4E9B"/>
    <w:rsid w:val="002C14B4"/>
    <w:rsid w:val="002C197D"/>
    <w:rsid w:val="002C433B"/>
    <w:rsid w:val="002C5694"/>
    <w:rsid w:val="002C5768"/>
    <w:rsid w:val="002D01F3"/>
    <w:rsid w:val="002D208A"/>
    <w:rsid w:val="002D2897"/>
    <w:rsid w:val="002D4DA3"/>
    <w:rsid w:val="002D61E2"/>
    <w:rsid w:val="002D7A30"/>
    <w:rsid w:val="002D7E44"/>
    <w:rsid w:val="002E17D0"/>
    <w:rsid w:val="002E545D"/>
    <w:rsid w:val="002E6324"/>
    <w:rsid w:val="002F25ED"/>
    <w:rsid w:val="002F2A50"/>
    <w:rsid w:val="002F3055"/>
    <w:rsid w:val="002F4B07"/>
    <w:rsid w:val="002F7B8D"/>
    <w:rsid w:val="00301785"/>
    <w:rsid w:val="00302F1E"/>
    <w:rsid w:val="00303A2A"/>
    <w:rsid w:val="00303E8B"/>
    <w:rsid w:val="0030675B"/>
    <w:rsid w:val="00313221"/>
    <w:rsid w:val="00316596"/>
    <w:rsid w:val="00317ABE"/>
    <w:rsid w:val="0032182C"/>
    <w:rsid w:val="00326A47"/>
    <w:rsid w:val="00335135"/>
    <w:rsid w:val="00336938"/>
    <w:rsid w:val="003379FA"/>
    <w:rsid w:val="003414D1"/>
    <w:rsid w:val="0034327B"/>
    <w:rsid w:val="00343758"/>
    <w:rsid w:val="00344026"/>
    <w:rsid w:val="00344402"/>
    <w:rsid w:val="003458E9"/>
    <w:rsid w:val="00355BF0"/>
    <w:rsid w:val="00366EAB"/>
    <w:rsid w:val="0036756B"/>
    <w:rsid w:val="003735EC"/>
    <w:rsid w:val="00375097"/>
    <w:rsid w:val="0038328C"/>
    <w:rsid w:val="00383CC1"/>
    <w:rsid w:val="00384723"/>
    <w:rsid w:val="00392CE8"/>
    <w:rsid w:val="00393A85"/>
    <w:rsid w:val="00394F82"/>
    <w:rsid w:val="003A5BA5"/>
    <w:rsid w:val="003A5DD8"/>
    <w:rsid w:val="003B1B26"/>
    <w:rsid w:val="003B1B88"/>
    <w:rsid w:val="003B1F41"/>
    <w:rsid w:val="003B4C9F"/>
    <w:rsid w:val="003B7A69"/>
    <w:rsid w:val="003C024B"/>
    <w:rsid w:val="003C16FC"/>
    <w:rsid w:val="003C2CA9"/>
    <w:rsid w:val="003C388E"/>
    <w:rsid w:val="003C7981"/>
    <w:rsid w:val="003D1945"/>
    <w:rsid w:val="003D2079"/>
    <w:rsid w:val="003D3BC5"/>
    <w:rsid w:val="003D4FD6"/>
    <w:rsid w:val="003E069C"/>
    <w:rsid w:val="003E3739"/>
    <w:rsid w:val="003E60CB"/>
    <w:rsid w:val="003E72C2"/>
    <w:rsid w:val="003F073C"/>
    <w:rsid w:val="003F10E9"/>
    <w:rsid w:val="003F2A8D"/>
    <w:rsid w:val="003F3006"/>
    <w:rsid w:val="00401330"/>
    <w:rsid w:val="00401978"/>
    <w:rsid w:val="004025F9"/>
    <w:rsid w:val="00405AA8"/>
    <w:rsid w:val="00405FDB"/>
    <w:rsid w:val="00407F0E"/>
    <w:rsid w:val="00411A39"/>
    <w:rsid w:val="004163F0"/>
    <w:rsid w:val="00416908"/>
    <w:rsid w:val="00422E49"/>
    <w:rsid w:val="0042525B"/>
    <w:rsid w:val="00436D5D"/>
    <w:rsid w:val="0044628C"/>
    <w:rsid w:val="00447215"/>
    <w:rsid w:val="0045052E"/>
    <w:rsid w:val="00451053"/>
    <w:rsid w:val="00453AD7"/>
    <w:rsid w:val="00453E63"/>
    <w:rsid w:val="0046158A"/>
    <w:rsid w:val="00461B8E"/>
    <w:rsid w:val="004622C6"/>
    <w:rsid w:val="004658A1"/>
    <w:rsid w:val="00466273"/>
    <w:rsid w:val="00466819"/>
    <w:rsid w:val="004670AB"/>
    <w:rsid w:val="00475F6A"/>
    <w:rsid w:val="00481DA0"/>
    <w:rsid w:val="00482910"/>
    <w:rsid w:val="0048381D"/>
    <w:rsid w:val="00485DE2"/>
    <w:rsid w:val="00485EEE"/>
    <w:rsid w:val="004959B1"/>
    <w:rsid w:val="004A383D"/>
    <w:rsid w:val="004B03DE"/>
    <w:rsid w:val="004B093A"/>
    <w:rsid w:val="004B61EC"/>
    <w:rsid w:val="004B7508"/>
    <w:rsid w:val="004C6984"/>
    <w:rsid w:val="004C6AF4"/>
    <w:rsid w:val="004C7FAC"/>
    <w:rsid w:val="004D3C84"/>
    <w:rsid w:val="004D55BA"/>
    <w:rsid w:val="004D71B2"/>
    <w:rsid w:val="004E094B"/>
    <w:rsid w:val="004E1A55"/>
    <w:rsid w:val="004E4270"/>
    <w:rsid w:val="004E5103"/>
    <w:rsid w:val="004E5962"/>
    <w:rsid w:val="004E596B"/>
    <w:rsid w:val="004F6ECD"/>
    <w:rsid w:val="004F7865"/>
    <w:rsid w:val="005055D8"/>
    <w:rsid w:val="005171F1"/>
    <w:rsid w:val="0052273D"/>
    <w:rsid w:val="00527CB1"/>
    <w:rsid w:val="0053203E"/>
    <w:rsid w:val="00536CE7"/>
    <w:rsid w:val="00537DD9"/>
    <w:rsid w:val="00544DB6"/>
    <w:rsid w:val="00546B63"/>
    <w:rsid w:val="00552C66"/>
    <w:rsid w:val="0055326F"/>
    <w:rsid w:val="0055342A"/>
    <w:rsid w:val="00554A53"/>
    <w:rsid w:val="005642ED"/>
    <w:rsid w:val="00565EF1"/>
    <w:rsid w:val="005663FC"/>
    <w:rsid w:val="00575373"/>
    <w:rsid w:val="005779E2"/>
    <w:rsid w:val="005803C4"/>
    <w:rsid w:val="0058217C"/>
    <w:rsid w:val="0059362E"/>
    <w:rsid w:val="005A4344"/>
    <w:rsid w:val="005A66C7"/>
    <w:rsid w:val="005B2F4C"/>
    <w:rsid w:val="005B3C71"/>
    <w:rsid w:val="005B7604"/>
    <w:rsid w:val="005B7D2B"/>
    <w:rsid w:val="005C0779"/>
    <w:rsid w:val="005C7F41"/>
    <w:rsid w:val="005D6165"/>
    <w:rsid w:val="005E0184"/>
    <w:rsid w:val="005E25B9"/>
    <w:rsid w:val="005E5682"/>
    <w:rsid w:val="005E6BF2"/>
    <w:rsid w:val="005F0F97"/>
    <w:rsid w:val="005F3F3A"/>
    <w:rsid w:val="005F7154"/>
    <w:rsid w:val="00601DC8"/>
    <w:rsid w:val="0060335B"/>
    <w:rsid w:val="00604EC8"/>
    <w:rsid w:val="00610E0B"/>
    <w:rsid w:val="00617728"/>
    <w:rsid w:val="00617918"/>
    <w:rsid w:val="00617EBB"/>
    <w:rsid w:val="006235A6"/>
    <w:rsid w:val="00627ECA"/>
    <w:rsid w:val="00632545"/>
    <w:rsid w:val="00633D63"/>
    <w:rsid w:val="00633E47"/>
    <w:rsid w:val="00643719"/>
    <w:rsid w:val="00645C17"/>
    <w:rsid w:val="006512E1"/>
    <w:rsid w:val="006523FD"/>
    <w:rsid w:val="006533EF"/>
    <w:rsid w:val="00654E27"/>
    <w:rsid w:val="00655255"/>
    <w:rsid w:val="0065527A"/>
    <w:rsid w:val="00657427"/>
    <w:rsid w:val="00665455"/>
    <w:rsid w:val="00665E8E"/>
    <w:rsid w:val="00671383"/>
    <w:rsid w:val="00675BD5"/>
    <w:rsid w:val="00686D7C"/>
    <w:rsid w:val="006906EE"/>
    <w:rsid w:val="0069255C"/>
    <w:rsid w:val="00692DB7"/>
    <w:rsid w:val="0069784D"/>
    <w:rsid w:val="006A37E4"/>
    <w:rsid w:val="006A5DEA"/>
    <w:rsid w:val="006A650F"/>
    <w:rsid w:val="006B08E0"/>
    <w:rsid w:val="006B5539"/>
    <w:rsid w:val="006B73F3"/>
    <w:rsid w:val="006C0D2C"/>
    <w:rsid w:val="006C3E16"/>
    <w:rsid w:val="006C5BF2"/>
    <w:rsid w:val="006D0973"/>
    <w:rsid w:val="006D246E"/>
    <w:rsid w:val="006D3274"/>
    <w:rsid w:val="006D720B"/>
    <w:rsid w:val="006D7C91"/>
    <w:rsid w:val="006E277A"/>
    <w:rsid w:val="006E4ED5"/>
    <w:rsid w:val="006E5B9A"/>
    <w:rsid w:val="006E6292"/>
    <w:rsid w:val="006E77AB"/>
    <w:rsid w:val="006E7C04"/>
    <w:rsid w:val="006F39A5"/>
    <w:rsid w:val="006F6BF0"/>
    <w:rsid w:val="00706A95"/>
    <w:rsid w:val="007132F6"/>
    <w:rsid w:val="00713CD1"/>
    <w:rsid w:val="00721C1C"/>
    <w:rsid w:val="00724DA6"/>
    <w:rsid w:val="00725904"/>
    <w:rsid w:val="0073525E"/>
    <w:rsid w:val="0074412A"/>
    <w:rsid w:val="00747F5B"/>
    <w:rsid w:val="007573B5"/>
    <w:rsid w:val="007606F4"/>
    <w:rsid w:val="00761820"/>
    <w:rsid w:val="007641DA"/>
    <w:rsid w:val="007654DD"/>
    <w:rsid w:val="007677C6"/>
    <w:rsid w:val="007735B9"/>
    <w:rsid w:val="007845EF"/>
    <w:rsid w:val="0079012C"/>
    <w:rsid w:val="00790F89"/>
    <w:rsid w:val="0079318F"/>
    <w:rsid w:val="0079323A"/>
    <w:rsid w:val="00797312"/>
    <w:rsid w:val="007A1B2D"/>
    <w:rsid w:val="007A4736"/>
    <w:rsid w:val="007B48AF"/>
    <w:rsid w:val="007C5455"/>
    <w:rsid w:val="007C6837"/>
    <w:rsid w:val="007D167A"/>
    <w:rsid w:val="007D5FD5"/>
    <w:rsid w:val="007D776C"/>
    <w:rsid w:val="007E2DC7"/>
    <w:rsid w:val="007E32A0"/>
    <w:rsid w:val="007E3691"/>
    <w:rsid w:val="007F26A7"/>
    <w:rsid w:val="00801285"/>
    <w:rsid w:val="00806E56"/>
    <w:rsid w:val="00817777"/>
    <w:rsid w:val="00821EB1"/>
    <w:rsid w:val="00832A15"/>
    <w:rsid w:val="00833221"/>
    <w:rsid w:val="00840C5A"/>
    <w:rsid w:val="00846D1D"/>
    <w:rsid w:val="00850857"/>
    <w:rsid w:val="00852094"/>
    <w:rsid w:val="00852CDA"/>
    <w:rsid w:val="008537FF"/>
    <w:rsid w:val="00855455"/>
    <w:rsid w:val="00861D94"/>
    <w:rsid w:val="00862E50"/>
    <w:rsid w:val="008648B5"/>
    <w:rsid w:val="0087030A"/>
    <w:rsid w:val="00875675"/>
    <w:rsid w:val="00876DB1"/>
    <w:rsid w:val="008777ED"/>
    <w:rsid w:val="00882DCF"/>
    <w:rsid w:val="00884565"/>
    <w:rsid w:val="00885DBB"/>
    <w:rsid w:val="00885FDC"/>
    <w:rsid w:val="00890FDC"/>
    <w:rsid w:val="0089214F"/>
    <w:rsid w:val="00893CE1"/>
    <w:rsid w:val="00894C53"/>
    <w:rsid w:val="008A19CC"/>
    <w:rsid w:val="008A3BCC"/>
    <w:rsid w:val="008A6778"/>
    <w:rsid w:val="008B7715"/>
    <w:rsid w:val="008B7D70"/>
    <w:rsid w:val="008C3349"/>
    <w:rsid w:val="008C411C"/>
    <w:rsid w:val="008C465C"/>
    <w:rsid w:val="008C5576"/>
    <w:rsid w:val="008D42CD"/>
    <w:rsid w:val="008D72C3"/>
    <w:rsid w:val="008E0D95"/>
    <w:rsid w:val="008E36F8"/>
    <w:rsid w:val="008F2F9E"/>
    <w:rsid w:val="008F4D6F"/>
    <w:rsid w:val="008F5D2C"/>
    <w:rsid w:val="008F772B"/>
    <w:rsid w:val="0090088E"/>
    <w:rsid w:val="00903310"/>
    <w:rsid w:val="00905AE0"/>
    <w:rsid w:val="00911EFB"/>
    <w:rsid w:val="00916F63"/>
    <w:rsid w:val="00933C62"/>
    <w:rsid w:val="00941890"/>
    <w:rsid w:val="00946930"/>
    <w:rsid w:val="009558F6"/>
    <w:rsid w:val="00956104"/>
    <w:rsid w:val="00957384"/>
    <w:rsid w:val="00960F42"/>
    <w:rsid w:val="00962528"/>
    <w:rsid w:val="009665E7"/>
    <w:rsid w:val="00967ECB"/>
    <w:rsid w:val="00971C98"/>
    <w:rsid w:val="00972BEC"/>
    <w:rsid w:val="00974E85"/>
    <w:rsid w:val="009839F1"/>
    <w:rsid w:val="00986983"/>
    <w:rsid w:val="00986DF9"/>
    <w:rsid w:val="0099367B"/>
    <w:rsid w:val="009936C1"/>
    <w:rsid w:val="0099387D"/>
    <w:rsid w:val="009A2D30"/>
    <w:rsid w:val="009A5A07"/>
    <w:rsid w:val="009B04CE"/>
    <w:rsid w:val="009B112A"/>
    <w:rsid w:val="009B1E74"/>
    <w:rsid w:val="009B23E6"/>
    <w:rsid w:val="009B2AD9"/>
    <w:rsid w:val="009C15CF"/>
    <w:rsid w:val="009C3FDE"/>
    <w:rsid w:val="009C4D1A"/>
    <w:rsid w:val="009D6B15"/>
    <w:rsid w:val="009E5F86"/>
    <w:rsid w:val="009E7CEA"/>
    <w:rsid w:val="009F015E"/>
    <w:rsid w:val="009F4C07"/>
    <w:rsid w:val="009F4D67"/>
    <w:rsid w:val="009F6B59"/>
    <w:rsid w:val="00A002D8"/>
    <w:rsid w:val="00A035E8"/>
    <w:rsid w:val="00A1578F"/>
    <w:rsid w:val="00A170AA"/>
    <w:rsid w:val="00A23762"/>
    <w:rsid w:val="00A25B4F"/>
    <w:rsid w:val="00A32A4B"/>
    <w:rsid w:val="00A32D04"/>
    <w:rsid w:val="00A347A5"/>
    <w:rsid w:val="00A36EE0"/>
    <w:rsid w:val="00A47617"/>
    <w:rsid w:val="00A54A3C"/>
    <w:rsid w:val="00A6168D"/>
    <w:rsid w:val="00A61CF6"/>
    <w:rsid w:val="00A63F6B"/>
    <w:rsid w:val="00A66F53"/>
    <w:rsid w:val="00A76814"/>
    <w:rsid w:val="00A77F77"/>
    <w:rsid w:val="00A80238"/>
    <w:rsid w:val="00A82C0D"/>
    <w:rsid w:val="00A86660"/>
    <w:rsid w:val="00A87556"/>
    <w:rsid w:val="00A90CA8"/>
    <w:rsid w:val="00A92230"/>
    <w:rsid w:val="00A92E74"/>
    <w:rsid w:val="00A95AC0"/>
    <w:rsid w:val="00A95FEE"/>
    <w:rsid w:val="00AA26B0"/>
    <w:rsid w:val="00AA3DBA"/>
    <w:rsid w:val="00AA424D"/>
    <w:rsid w:val="00AA4F11"/>
    <w:rsid w:val="00AB154E"/>
    <w:rsid w:val="00AB735E"/>
    <w:rsid w:val="00AC0C8C"/>
    <w:rsid w:val="00AC66BB"/>
    <w:rsid w:val="00AD1601"/>
    <w:rsid w:val="00AD3332"/>
    <w:rsid w:val="00AD4852"/>
    <w:rsid w:val="00AD5878"/>
    <w:rsid w:val="00AD6F07"/>
    <w:rsid w:val="00AD73DD"/>
    <w:rsid w:val="00AE298A"/>
    <w:rsid w:val="00AF3FC3"/>
    <w:rsid w:val="00B045C3"/>
    <w:rsid w:val="00B071FA"/>
    <w:rsid w:val="00B103C7"/>
    <w:rsid w:val="00B1079B"/>
    <w:rsid w:val="00B1134A"/>
    <w:rsid w:val="00B12079"/>
    <w:rsid w:val="00B17C37"/>
    <w:rsid w:val="00B232A6"/>
    <w:rsid w:val="00B25898"/>
    <w:rsid w:val="00B25E15"/>
    <w:rsid w:val="00B357B5"/>
    <w:rsid w:val="00B36993"/>
    <w:rsid w:val="00B4590B"/>
    <w:rsid w:val="00B509BA"/>
    <w:rsid w:val="00B526DA"/>
    <w:rsid w:val="00B52CAB"/>
    <w:rsid w:val="00B60D5A"/>
    <w:rsid w:val="00B62837"/>
    <w:rsid w:val="00B6592B"/>
    <w:rsid w:val="00B67949"/>
    <w:rsid w:val="00B706D2"/>
    <w:rsid w:val="00B725CB"/>
    <w:rsid w:val="00B80447"/>
    <w:rsid w:val="00B8623D"/>
    <w:rsid w:val="00B9275B"/>
    <w:rsid w:val="00B94AEE"/>
    <w:rsid w:val="00B95CC5"/>
    <w:rsid w:val="00B976F6"/>
    <w:rsid w:val="00BA4DEE"/>
    <w:rsid w:val="00BA5ACE"/>
    <w:rsid w:val="00BA6F22"/>
    <w:rsid w:val="00BA7544"/>
    <w:rsid w:val="00BB1B3B"/>
    <w:rsid w:val="00BB24CB"/>
    <w:rsid w:val="00BB37D7"/>
    <w:rsid w:val="00BB3EE5"/>
    <w:rsid w:val="00BB3FE7"/>
    <w:rsid w:val="00BB58E3"/>
    <w:rsid w:val="00BB6A7C"/>
    <w:rsid w:val="00BD2D48"/>
    <w:rsid w:val="00BD5DB4"/>
    <w:rsid w:val="00BE0B89"/>
    <w:rsid w:val="00BE243E"/>
    <w:rsid w:val="00BE799B"/>
    <w:rsid w:val="00BF05AF"/>
    <w:rsid w:val="00BF21D5"/>
    <w:rsid w:val="00BF3259"/>
    <w:rsid w:val="00BF3AEF"/>
    <w:rsid w:val="00BF70AD"/>
    <w:rsid w:val="00BF7501"/>
    <w:rsid w:val="00BF7C56"/>
    <w:rsid w:val="00C00D8E"/>
    <w:rsid w:val="00C03276"/>
    <w:rsid w:val="00C04427"/>
    <w:rsid w:val="00C04EB2"/>
    <w:rsid w:val="00C065B4"/>
    <w:rsid w:val="00C13294"/>
    <w:rsid w:val="00C16F07"/>
    <w:rsid w:val="00C200F7"/>
    <w:rsid w:val="00C23155"/>
    <w:rsid w:val="00C23490"/>
    <w:rsid w:val="00C25015"/>
    <w:rsid w:val="00C303B4"/>
    <w:rsid w:val="00C31291"/>
    <w:rsid w:val="00C3312E"/>
    <w:rsid w:val="00C3365B"/>
    <w:rsid w:val="00C339D8"/>
    <w:rsid w:val="00C35315"/>
    <w:rsid w:val="00C47CC8"/>
    <w:rsid w:val="00C500D2"/>
    <w:rsid w:val="00C526B7"/>
    <w:rsid w:val="00C61847"/>
    <w:rsid w:val="00C64D83"/>
    <w:rsid w:val="00C6518C"/>
    <w:rsid w:val="00C74769"/>
    <w:rsid w:val="00C751BA"/>
    <w:rsid w:val="00C76962"/>
    <w:rsid w:val="00C83225"/>
    <w:rsid w:val="00C879BB"/>
    <w:rsid w:val="00C87F1C"/>
    <w:rsid w:val="00C90741"/>
    <w:rsid w:val="00C90D0C"/>
    <w:rsid w:val="00C91FB6"/>
    <w:rsid w:val="00C92575"/>
    <w:rsid w:val="00C945AA"/>
    <w:rsid w:val="00CB0A6C"/>
    <w:rsid w:val="00CB30EC"/>
    <w:rsid w:val="00CC3E6B"/>
    <w:rsid w:val="00CC4D05"/>
    <w:rsid w:val="00CD31EE"/>
    <w:rsid w:val="00CD3B33"/>
    <w:rsid w:val="00CD68F8"/>
    <w:rsid w:val="00CE65B8"/>
    <w:rsid w:val="00CF4C34"/>
    <w:rsid w:val="00CF5885"/>
    <w:rsid w:val="00CF5EE4"/>
    <w:rsid w:val="00CF6DAF"/>
    <w:rsid w:val="00D0207A"/>
    <w:rsid w:val="00D02C61"/>
    <w:rsid w:val="00D0608F"/>
    <w:rsid w:val="00D06D59"/>
    <w:rsid w:val="00D12C38"/>
    <w:rsid w:val="00D14EA2"/>
    <w:rsid w:val="00D1569A"/>
    <w:rsid w:val="00D202D0"/>
    <w:rsid w:val="00D244CF"/>
    <w:rsid w:val="00D314C9"/>
    <w:rsid w:val="00D323D6"/>
    <w:rsid w:val="00D34618"/>
    <w:rsid w:val="00D37ED8"/>
    <w:rsid w:val="00D47AA2"/>
    <w:rsid w:val="00D50172"/>
    <w:rsid w:val="00D509FD"/>
    <w:rsid w:val="00D5613A"/>
    <w:rsid w:val="00D612B6"/>
    <w:rsid w:val="00D630BB"/>
    <w:rsid w:val="00D703D6"/>
    <w:rsid w:val="00D733C0"/>
    <w:rsid w:val="00D7399A"/>
    <w:rsid w:val="00D751F5"/>
    <w:rsid w:val="00D81602"/>
    <w:rsid w:val="00D81D80"/>
    <w:rsid w:val="00D87990"/>
    <w:rsid w:val="00DA07E3"/>
    <w:rsid w:val="00DA3178"/>
    <w:rsid w:val="00DA3E71"/>
    <w:rsid w:val="00DA4FF9"/>
    <w:rsid w:val="00DB4C7B"/>
    <w:rsid w:val="00DB4DE6"/>
    <w:rsid w:val="00DC0CBE"/>
    <w:rsid w:val="00DC11C3"/>
    <w:rsid w:val="00DC3DC6"/>
    <w:rsid w:val="00DC411B"/>
    <w:rsid w:val="00DC44BE"/>
    <w:rsid w:val="00DC46CF"/>
    <w:rsid w:val="00DC4FE7"/>
    <w:rsid w:val="00DD4815"/>
    <w:rsid w:val="00DE117F"/>
    <w:rsid w:val="00DE150D"/>
    <w:rsid w:val="00DE19C2"/>
    <w:rsid w:val="00DE3B77"/>
    <w:rsid w:val="00DE4C50"/>
    <w:rsid w:val="00DE557A"/>
    <w:rsid w:val="00DF1C93"/>
    <w:rsid w:val="00DF25B6"/>
    <w:rsid w:val="00DF2A73"/>
    <w:rsid w:val="00DF6579"/>
    <w:rsid w:val="00E07FFC"/>
    <w:rsid w:val="00E143CF"/>
    <w:rsid w:val="00E15B46"/>
    <w:rsid w:val="00E15F4E"/>
    <w:rsid w:val="00E1744F"/>
    <w:rsid w:val="00E211CC"/>
    <w:rsid w:val="00E22591"/>
    <w:rsid w:val="00E24734"/>
    <w:rsid w:val="00E25D18"/>
    <w:rsid w:val="00E27B93"/>
    <w:rsid w:val="00E307FC"/>
    <w:rsid w:val="00E40271"/>
    <w:rsid w:val="00E47F0A"/>
    <w:rsid w:val="00E510E6"/>
    <w:rsid w:val="00E56C02"/>
    <w:rsid w:val="00E5778D"/>
    <w:rsid w:val="00E62EA4"/>
    <w:rsid w:val="00E6492F"/>
    <w:rsid w:val="00E67059"/>
    <w:rsid w:val="00E755CD"/>
    <w:rsid w:val="00E75E15"/>
    <w:rsid w:val="00E76671"/>
    <w:rsid w:val="00E77519"/>
    <w:rsid w:val="00E77542"/>
    <w:rsid w:val="00E77D6E"/>
    <w:rsid w:val="00E82155"/>
    <w:rsid w:val="00E8439C"/>
    <w:rsid w:val="00E849B0"/>
    <w:rsid w:val="00E868EB"/>
    <w:rsid w:val="00E8756A"/>
    <w:rsid w:val="00E97856"/>
    <w:rsid w:val="00EA2847"/>
    <w:rsid w:val="00EA74BF"/>
    <w:rsid w:val="00EB41B8"/>
    <w:rsid w:val="00EB5344"/>
    <w:rsid w:val="00ED4335"/>
    <w:rsid w:val="00EE0684"/>
    <w:rsid w:val="00EE47CC"/>
    <w:rsid w:val="00EF4FA0"/>
    <w:rsid w:val="00F010A1"/>
    <w:rsid w:val="00F04974"/>
    <w:rsid w:val="00F050A4"/>
    <w:rsid w:val="00F05DB2"/>
    <w:rsid w:val="00F06687"/>
    <w:rsid w:val="00F1720A"/>
    <w:rsid w:val="00F1799A"/>
    <w:rsid w:val="00F2158E"/>
    <w:rsid w:val="00F21922"/>
    <w:rsid w:val="00F224A1"/>
    <w:rsid w:val="00F2403F"/>
    <w:rsid w:val="00F26555"/>
    <w:rsid w:val="00F26FB5"/>
    <w:rsid w:val="00F32405"/>
    <w:rsid w:val="00F33A00"/>
    <w:rsid w:val="00F34972"/>
    <w:rsid w:val="00F34B90"/>
    <w:rsid w:val="00F417FB"/>
    <w:rsid w:val="00F424CD"/>
    <w:rsid w:val="00F42F72"/>
    <w:rsid w:val="00F44FEC"/>
    <w:rsid w:val="00F458D2"/>
    <w:rsid w:val="00F533D1"/>
    <w:rsid w:val="00F614A1"/>
    <w:rsid w:val="00F61C53"/>
    <w:rsid w:val="00F67832"/>
    <w:rsid w:val="00F7716E"/>
    <w:rsid w:val="00F815EE"/>
    <w:rsid w:val="00F81A69"/>
    <w:rsid w:val="00F8454F"/>
    <w:rsid w:val="00F848F9"/>
    <w:rsid w:val="00F86862"/>
    <w:rsid w:val="00F8703F"/>
    <w:rsid w:val="00F91817"/>
    <w:rsid w:val="00F93837"/>
    <w:rsid w:val="00F93FBC"/>
    <w:rsid w:val="00F95590"/>
    <w:rsid w:val="00FA076F"/>
    <w:rsid w:val="00FA2298"/>
    <w:rsid w:val="00FA3107"/>
    <w:rsid w:val="00FA3362"/>
    <w:rsid w:val="00FA5A6B"/>
    <w:rsid w:val="00FB1218"/>
    <w:rsid w:val="00FB4308"/>
    <w:rsid w:val="00FB4EA1"/>
    <w:rsid w:val="00FC2B9F"/>
    <w:rsid w:val="00FC45D8"/>
    <w:rsid w:val="00FC549B"/>
    <w:rsid w:val="00FC6D7D"/>
    <w:rsid w:val="00FD2340"/>
    <w:rsid w:val="00FD5AFF"/>
    <w:rsid w:val="00FF22D0"/>
    <w:rsid w:val="00FF6BFC"/>
    <w:rsid w:val="00FF7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CACC"/>
  <w15:chartTrackingRefBased/>
  <w15:docId w15:val="{EAA8A327-01A8-4781-B70B-ADEB87D9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3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0D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32182C"/>
    <w:pPr>
      <w:keepNext/>
      <w:tabs>
        <w:tab w:val="left" w:pos="142"/>
      </w:tabs>
      <w:spacing w:after="0" w:line="240" w:lineRule="auto"/>
      <w:ind w:right="-24"/>
      <w:jc w:val="center"/>
      <w:outlineLvl w:val="5"/>
    </w:pPr>
    <w:rPr>
      <w:rFonts w:ascii="Tahoma" w:eastAsia="Times New Roman" w:hAnsi="Tahoma" w:cs="Tahoma"/>
      <w:b/>
      <w:smallCaps/>
      <w:sz w:val="28"/>
      <w:szCs w:val="20"/>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03B4"/>
    <w:pPr>
      <w:spacing w:after="0" w:line="240" w:lineRule="auto"/>
    </w:pPr>
    <w:rPr>
      <w:sz w:val="20"/>
      <w:szCs w:val="20"/>
    </w:rPr>
  </w:style>
  <w:style w:type="character" w:customStyle="1" w:styleId="FootnoteTextChar">
    <w:name w:val="Footnote Text Char"/>
    <w:basedOn w:val="DefaultParagraphFont"/>
    <w:link w:val="FootnoteText"/>
    <w:uiPriority w:val="99"/>
    <w:rsid w:val="00C303B4"/>
    <w:rPr>
      <w:sz w:val="20"/>
      <w:szCs w:val="20"/>
    </w:rPr>
  </w:style>
  <w:style w:type="character" w:styleId="FootnoteReference">
    <w:name w:val="footnote reference"/>
    <w:basedOn w:val="DefaultParagraphFont"/>
    <w:uiPriority w:val="99"/>
    <w:semiHidden/>
    <w:unhideWhenUsed/>
    <w:rsid w:val="00C303B4"/>
    <w:rPr>
      <w:vertAlign w:val="superscript"/>
    </w:rPr>
  </w:style>
  <w:style w:type="paragraph" w:styleId="Header">
    <w:name w:val="header"/>
    <w:basedOn w:val="Normal"/>
    <w:link w:val="HeaderChar"/>
    <w:uiPriority w:val="99"/>
    <w:unhideWhenUsed/>
    <w:rsid w:val="00AD4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852"/>
  </w:style>
  <w:style w:type="paragraph" w:styleId="Footer">
    <w:name w:val="footer"/>
    <w:basedOn w:val="Normal"/>
    <w:link w:val="FooterChar"/>
    <w:uiPriority w:val="99"/>
    <w:unhideWhenUsed/>
    <w:rsid w:val="00AD4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852"/>
  </w:style>
  <w:style w:type="paragraph" w:styleId="Title">
    <w:name w:val="Title"/>
    <w:basedOn w:val="Normal"/>
    <w:next w:val="Normal"/>
    <w:link w:val="TitleChar"/>
    <w:uiPriority w:val="10"/>
    <w:qFormat/>
    <w:rsid w:val="007973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73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73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731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973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731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7312"/>
    <w:pPr>
      <w:ind w:left="720"/>
      <w:contextualSpacing/>
    </w:pPr>
  </w:style>
  <w:style w:type="table" w:styleId="TableGrid">
    <w:name w:val="Table Grid"/>
    <w:basedOn w:val="TableNormal"/>
    <w:uiPriority w:val="39"/>
    <w:rsid w:val="00DA0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4DEE"/>
    <w:rPr>
      <w:sz w:val="16"/>
      <w:szCs w:val="16"/>
    </w:rPr>
  </w:style>
  <w:style w:type="paragraph" w:styleId="CommentText">
    <w:name w:val="annotation text"/>
    <w:basedOn w:val="Normal"/>
    <w:link w:val="CommentTextChar"/>
    <w:uiPriority w:val="99"/>
    <w:unhideWhenUsed/>
    <w:rsid w:val="00BA4DEE"/>
    <w:pPr>
      <w:spacing w:line="240" w:lineRule="auto"/>
    </w:pPr>
    <w:rPr>
      <w:sz w:val="20"/>
      <w:szCs w:val="20"/>
    </w:rPr>
  </w:style>
  <w:style w:type="character" w:customStyle="1" w:styleId="CommentTextChar">
    <w:name w:val="Comment Text Char"/>
    <w:basedOn w:val="DefaultParagraphFont"/>
    <w:link w:val="CommentText"/>
    <w:uiPriority w:val="99"/>
    <w:rsid w:val="00BA4DEE"/>
    <w:rPr>
      <w:sz w:val="20"/>
      <w:szCs w:val="20"/>
    </w:rPr>
  </w:style>
  <w:style w:type="paragraph" w:styleId="CommentSubject">
    <w:name w:val="annotation subject"/>
    <w:basedOn w:val="CommentText"/>
    <w:next w:val="CommentText"/>
    <w:link w:val="CommentSubjectChar"/>
    <w:uiPriority w:val="99"/>
    <w:semiHidden/>
    <w:unhideWhenUsed/>
    <w:rsid w:val="00BA4DEE"/>
    <w:rPr>
      <w:b/>
      <w:bCs/>
    </w:rPr>
  </w:style>
  <w:style w:type="character" w:customStyle="1" w:styleId="CommentSubjectChar">
    <w:name w:val="Comment Subject Char"/>
    <w:basedOn w:val="CommentTextChar"/>
    <w:link w:val="CommentSubject"/>
    <w:uiPriority w:val="99"/>
    <w:semiHidden/>
    <w:rsid w:val="00BA4DEE"/>
    <w:rPr>
      <w:b/>
      <w:bCs/>
      <w:sz w:val="20"/>
      <w:szCs w:val="20"/>
    </w:rPr>
  </w:style>
  <w:style w:type="paragraph" w:styleId="BalloonText">
    <w:name w:val="Balloon Text"/>
    <w:basedOn w:val="Normal"/>
    <w:link w:val="BalloonTextChar"/>
    <w:uiPriority w:val="99"/>
    <w:semiHidden/>
    <w:unhideWhenUsed/>
    <w:rsid w:val="00BA4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EE"/>
    <w:rPr>
      <w:rFonts w:ascii="Segoe UI" w:hAnsi="Segoe UI" w:cs="Segoe UI"/>
      <w:sz w:val="18"/>
      <w:szCs w:val="18"/>
    </w:rPr>
  </w:style>
  <w:style w:type="character" w:customStyle="1" w:styleId="numdef">
    <w:name w:val="numdef"/>
    <w:basedOn w:val="DefaultParagraphFont"/>
    <w:rsid w:val="003735EC"/>
  </w:style>
  <w:style w:type="character" w:customStyle="1" w:styleId="textelocution">
    <w:name w:val="textelocution"/>
    <w:basedOn w:val="DefaultParagraphFont"/>
    <w:rsid w:val="003735EC"/>
  </w:style>
  <w:style w:type="character" w:styleId="SubtleEmphasis">
    <w:name w:val="Subtle Emphasis"/>
    <w:basedOn w:val="DefaultParagraphFont"/>
    <w:uiPriority w:val="19"/>
    <w:qFormat/>
    <w:rsid w:val="008D42CD"/>
    <w:rPr>
      <w:i/>
      <w:iCs/>
      <w:color w:val="404040" w:themeColor="text1" w:themeTint="BF"/>
    </w:rPr>
  </w:style>
  <w:style w:type="character" w:styleId="Hyperlink">
    <w:name w:val="Hyperlink"/>
    <w:basedOn w:val="DefaultParagraphFont"/>
    <w:uiPriority w:val="99"/>
    <w:unhideWhenUsed/>
    <w:rsid w:val="00DC411B"/>
    <w:rPr>
      <w:color w:val="0000FF"/>
      <w:u w:val="single"/>
    </w:rPr>
  </w:style>
  <w:style w:type="character" w:styleId="Emphasis">
    <w:name w:val="Emphasis"/>
    <w:basedOn w:val="DefaultParagraphFont"/>
    <w:uiPriority w:val="20"/>
    <w:qFormat/>
    <w:rsid w:val="00601DC8"/>
    <w:rPr>
      <w:i/>
      <w:iCs/>
    </w:rPr>
  </w:style>
  <w:style w:type="character" w:customStyle="1" w:styleId="Heading6Char">
    <w:name w:val="Heading 6 Char"/>
    <w:basedOn w:val="DefaultParagraphFont"/>
    <w:link w:val="Heading6"/>
    <w:rsid w:val="0032182C"/>
    <w:rPr>
      <w:rFonts w:ascii="Tahoma" w:eastAsia="Times New Roman" w:hAnsi="Tahoma" w:cs="Tahoma"/>
      <w:b/>
      <w:smallCaps/>
      <w:sz w:val="28"/>
      <w:szCs w:val="20"/>
      <w:lang w:val="fr-BE" w:eastAsia="fr-BE"/>
    </w:rPr>
  </w:style>
  <w:style w:type="character" w:customStyle="1" w:styleId="decisionligne1">
    <w:name w:val="decision_ligne1"/>
    <w:basedOn w:val="DefaultParagraphFont"/>
    <w:rsid w:val="00D37ED8"/>
  </w:style>
  <w:style w:type="paragraph" w:styleId="BodyTextIndent">
    <w:name w:val="Body Text Indent"/>
    <w:basedOn w:val="Normal"/>
    <w:link w:val="BodyTextIndentChar"/>
    <w:semiHidden/>
    <w:rsid w:val="00AD3332"/>
    <w:pPr>
      <w:spacing w:after="0" w:line="240" w:lineRule="auto"/>
      <w:ind w:left="113"/>
      <w:jc w:val="both"/>
    </w:pPr>
    <w:rPr>
      <w:rFonts w:ascii="Arial" w:eastAsia="Times New Roman" w:hAnsi="Arial" w:cs="Arial"/>
      <w:lang w:val="nl-BE"/>
    </w:rPr>
  </w:style>
  <w:style w:type="character" w:customStyle="1" w:styleId="BodyTextIndentChar">
    <w:name w:val="Body Text Indent Char"/>
    <w:basedOn w:val="DefaultParagraphFont"/>
    <w:link w:val="BodyTextIndent"/>
    <w:semiHidden/>
    <w:rsid w:val="00AD3332"/>
    <w:rPr>
      <w:rFonts w:ascii="Arial" w:eastAsia="Times New Roman" w:hAnsi="Arial" w:cs="Arial"/>
      <w:lang w:val="nl-BE"/>
    </w:rPr>
  </w:style>
  <w:style w:type="paragraph" w:customStyle="1" w:styleId="StyleHeading1After0ptLinespacingExactly23pt">
    <w:name w:val="Style Heading 1 + After:  0 pt Line spacing:  Exactly 23 pt"/>
    <w:basedOn w:val="Heading1"/>
    <w:rsid w:val="00AD3332"/>
    <w:pPr>
      <w:keepLines w:val="0"/>
      <w:spacing w:before="0" w:line="280" w:lineRule="exact"/>
    </w:pPr>
    <w:rPr>
      <w:rFonts w:ascii="Arial" w:eastAsia="Times New Roman" w:hAnsi="Arial" w:cs="Times New Roman"/>
      <w:b/>
      <w:bCs/>
      <w:color w:val="auto"/>
      <w:kern w:val="32"/>
      <w:sz w:val="22"/>
      <w:szCs w:val="20"/>
      <w:lang w:val="nl-NL" w:eastAsia="nl-NL"/>
    </w:rPr>
  </w:style>
  <w:style w:type="paragraph" w:styleId="BodyTextIndent3">
    <w:name w:val="Body Text Indent 3"/>
    <w:basedOn w:val="Normal"/>
    <w:link w:val="BodyTextIndent3Char"/>
    <w:semiHidden/>
    <w:rsid w:val="00AD3332"/>
    <w:pPr>
      <w:spacing w:after="0" w:line="240" w:lineRule="auto"/>
      <w:ind w:left="100"/>
      <w:jc w:val="both"/>
    </w:pPr>
    <w:rPr>
      <w:rFonts w:ascii="Arial" w:eastAsia="Times New Roman" w:hAnsi="Arial" w:cs="Arial"/>
      <w:b/>
      <w:bCs/>
      <w:lang w:val="fr-BE"/>
    </w:rPr>
  </w:style>
  <w:style w:type="character" w:customStyle="1" w:styleId="BodyTextIndent3Char">
    <w:name w:val="Body Text Indent 3 Char"/>
    <w:basedOn w:val="DefaultParagraphFont"/>
    <w:link w:val="BodyTextIndent3"/>
    <w:semiHidden/>
    <w:rsid w:val="00AD3332"/>
    <w:rPr>
      <w:rFonts w:ascii="Arial" w:eastAsia="Times New Roman" w:hAnsi="Arial" w:cs="Arial"/>
      <w:b/>
      <w:bCs/>
      <w:lang w:val="fr-BE"/>
    </w:rPr>
  </w:style>
  <w:style w:type="paragraph" w:styleId="TOCHeading">
    <w:name w:val="TOC Heading"/>
    <w:basedOn w:val="Heading1"/>
    <w:next w:val="Normal"/>
    <w:uiPriority w:val="39"/>
    <w:unhideWhenUsed/>
    <w:qFormat/>
    <w:rsid w:val="00AD3332"/>
    <w:pPr>
      <w:outlineLvl w:val="9"/>
    </w:pPr>
    <w:rPr>
      <w:lang w:eastAsia="en-GB"/>
    </w:rPr>
  </w:style>
  <w:style w:type="paragraph" w:styleId="TOC1">
    <w:name w:val="toc 1"/>
    <w:basedOn w:val="Normal"/>
    <w:next w:val="Normal"/>
    <w:autoRedefine/>
    <w:uiPriority w:val="39"/>
    <w:unhideWhenUsed/>
    <w:rsid w:val="00AD3332"/>
    <w:pPr>
      <w:spacing w:after="100"/>
    </w:pPr>
  </w:style>
  <w:style w:type="character" w:customStyle="1" w:styleId="Heading3Char">
    <w:name w:val="Heading 3 Char"/>
    <w:basedOn w:val="DefaultParagraphFont"/>
    <w:link w:val="Heading3"/>
    <w:uiPriority w:val="9"/>
    <w:rsid w:val="006C0D2C"/>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6C0D2C"/>
    <w:pPr>
      <w:spacing w:after="100"/>
      <w:ind w:left="220"/>
    </w:pPr>
  </w:style>
  <w:style w:type="paragraph" w:styleId="TOC3">
    <w:name w:val="toc 3"/>
    <w:basedOn w:val="Normal"/>
    <w:next w:val="Normal"/>
    <w:autoRedefine/>
    <w:uiPriority w:val="39"/>
    <w:unhideWhenUsed/>
    <w:rsid w:val="006C0D2C"/>
    <w:pPr>
      <w:spacing w:after="100"/>
      <w:ind w:left="440"/>
    </w:pPr>
    <w:rPr>
      <w:rFonts w:eastAsiaTheme="minorEastAsia" w:cs="Times New Roman"/>
      <w:lang w:eastAsia="en-GB"/>
    </w:rPr>
  </w:style>
  <w:style w:type="paragraph" w:styleId="TOC4">
    <w:name w:val="toc 4"/>
    <w:basedOn w:val="Normal"/>
    <w:next w:val="Normal"/>
    <w:autoRedefine/>
    <w:uiPriority w:val="39"/>
    <w:unhideWhenUsed/>
    <w:rsid w:val="002B4E9B"/>
    <w:pPr>
      <w:spacing w:after="100"/>
      <w:ind w:left="660"/>
    </w:pPr>
    <w:rPr>
      <w:rFonts w:eastAsiaTheme="minorEastAsia"/>
      <w:lang w:eastAsia="en-GB"/>
    </w:rPr>
  </w:style>
  <w:style w:type="paragraph" w:styleId="TOC5">
    <w:name w:val="toc 5"/>
    <w:basedOn w:val="Normal"/>
    <w:next w:val="Normal"/>
    <w:autoRedefine/>
    <w:uiPriority w:val="39"/>
    <w:unhideWhenUsed/>
    <w:rsid w:val="002B4E9B"/>
    <w:pPr>
      <w:spacing w:after="100"/>
      <w:ind w:left="880"/>
    </w:pPr>
    <w:rPr>
      <w:rFonts w:eastAsiaTheme="minorEastAsia"/>
      <w:lang w:eastAsia="en-GB"/>
    </w:rPr>
  </w:style>
  <w:style w:type="paragraph" w:styleId="TOC6">
    <w:name w:val="toc 6"/>
    <w:basedOn w:val="Normal"/>
    <w:next w:val="Normal"/>
    <w:autoRedefine/>
    <w:uiPriority w:val="39"/>
    <w:unhideWhenUsed/>
    <w:rsid w:val="002B4E9B"/>
    <w:pPr>
      <w:spacing w:after="100"/>
      <w:ind w:left="1100"/>
    </w:pPr>
    <w:rPr>
      <w:rFonts w:eastAsiaTheme="minorEastAsia"/>
      <w:lang w:eastAsia="en-GB"/>
    </w:rPr>
  </w:style>
  <w:style w:type="paragraph" w:styleId="TOC7">
    <w:name w:val="toc 7"/>
    <w:basedOn w:val="Normal"/>
    <w:next w:val="Normal"/>
    <w:autoRedefine/>
    <w:uiPriority w:val="39"/>
    <w:unhideWhenUsed/>
    <w:rsid w:val="002B4E9B"/>
    <w:pPr>
      <w:spacing w:after="100"/>
      <w:ind w:left="1320"/>
    </w:pPr>
    <w:rPr>
      <w:rFonts w:eastAsiaTheme="minorEastAsia"/>
      <w:lang w:eastAsia="en-GB"/>
    </w:rPr>
  </w:style>
  <w:style w:type="paragraph" w:styleId="TOC8">
    <w:name w:val="toc 8"/>
    <w:basedOn w:val="Normal"/>
    <w:next w:val="Normal"/>
    <w:autoRedefine/>
    <w:uiPriority w:val="39"/>
    <w:unhideWhenUsed/>
    <w:rsid w:val="002B4E9B"/>
    <w:pPr>
      <w:spacing w:after="100"/>
      <w:ind w:left="1540"/>
    </w:pPr>
    <w:rPr>
      <w:rFonts w:eastAsiaTheme="minorEastAsia"/>
      <w:lang w:eastAsia="en-GB"/>
    </w:rPr>
  </w:style>
  <w:style w:type="paragraph" w:styleId="TOC9">
    <w:name w:val="toc 9"/>
    <w:basedOn w:val="Normal"/>
    <w:next w:val="Normal"/>
    <w:autoRedefine/>
    <w:uiPriority w:val="39"/>
    <w:unhideWhenUsed/>
    <w:rsid w:val="002B4E9B"/>
    <w:pPr>
      <w:spacing w:after="100"/>
      <w:ind w:left="1760"/>
    </w:pPr>
    <w:rPr>
      <w:rFonts w:eastAsiaTheme="minorEastAsia"/>
      <w:lang w:eastAsia="en-GB"/>
    </w:rPr>
  </w:style>
  <w:style w:type="paragraph" w:styleId="EndnoteText">
    <w:name w:val="endnote text"/>
    <w:basedOn w:val="Normal"/>
    <w:link w:val="EndnoteTextChar"/>
    <w:uiPriority w:val="99"/>
    <w:semiHidden/>
    <w:unhideWhenUsed/>
    <w:rsid w:val="007441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12A"/>
    <w:rPr>
      <w:sz w:val="20"/>
      <w:szCs w:val="20"/>
    </w:rPr>
  </w:style>
  <w:style w:type="character" w:styleId="EndnoteReference">
    <w:name w:val="endnote reference"/>
    <w:basedOn w:val="DefaultParagraphFont"/>
    <w:uiPriority w:val="99"/>
    <w:semiHidden/>
    <w:unhideWhenUsed/>
    <w:rsid w:val="00744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6305">
      <w:bodyDiv w:val="1"/>
      <w:marLeft w:val="0"/>
      <w:marRight w:val="0"/>
      <w:marTop w:val="0"/>
      <w:marBottom w:val="0"/>
      <w:divBdr>
        <w:top w:val="none" w:sz="0" w:space="0" w:color="auto"/>
        <w:left w:val="none" w:sz="0" w:space="0" w:color="auto"/>
        <w:bottom w:val="none" w:sz="0" w:space="0" w:color="auto"/>
        <w:right w:val="none" w:sz="0" w:space="0" w:color="auto"/>
      </w:divBdr>
    </w:div>
    <w:div w:id="421297944">
      <w:bodyDiv w:val="1"/>
      <w:marLeft w:val="0"/>
      <w:marRight w:val="0"/>
      <w:marTop w:val="0"/>
      <w:marBottom w:val="0"/>
      <w:divBdr>
        <w:top w:val="none" w:sz="0" w:space="0" w:color="auto"/>
        <w:left w:val="none" w:sz="0" w:space="0" w:color="auto"/>
        <w:bottom w:val="none" w:sz="0" w:space="0" w:color="auto"/>
        <w:right w:val="none" w:sz="0" w:space="0" w:color="auto"/>
      </w:divBdr>
    </w:div>
    <w:div w:id="731122481">
      <w:bodyDiv w:val="1"/>
      <w:marLeft w:val="0"/>
      <w:marRight w:val="0"/>
      <w:marTop w:val="0"/>
      <w:marBottom w:val="0"/>
      <w:divBdr>
        <w:top w:val="none" w:sz="0" w:space="0" w:color="auto"/>
        <w:left w:val="none" w:sz="0" w:space="0" w:color="auto"/>
        <w:bottom w:val="none" w:sz="0" w:space="0" w:color="auto"/>
        <w:right w:val="none" w:sz="0" w:space="0" w:color="auto"/>
      </w:divBdr>
    </w:div>
    <w:div w:id="872695530">
      <w:bodyDiv w:val="1"/>
      <w:marLeft w:val="0"/>
      <w:marRight w:val="0"/>
      <w:marTop w:val="0"/>
      <w:marBottom w:val="0"/>
      <w:divBdr>
        <w:top w:val="none" w:sz="0" w:space="0" w:color="auto"/>
        <w:left w:val="none" w:sz="0" w:space="0" w:color="auto"/>
        <w:bottom w:val="none" w:sz="0" w:space="0" w:color="auto"/>
        <w:right w:val="none" w:sz="0" w:space="0" w:color="auto"/>
      </w:divBdr>
    </w:div>
    <w:div w:id="944728439">
      <w:bodyDiv w:val="1"/>
      <w:marLeft w:val="0"/>
      <w:marRight w:val="0"/>
      <w:marTop w:val="0"/>
      <w:marBottom w:val="0"/>
      <w:divBdr>
        <w:top w:val="none" w:sz="0" w:space="0" w:color="auto"/>
        <w:left w:val="none" w:sz="0" w:space="0" w:color="auto"/>
        <w:bottom w:val="none" w:sz="0" w:space="0" w:color="auto"/>
        <w:right w:val="none" w:sz="0" w:space="0" w:color="auto"/>
      </w:divBdr>
    </w:div>
    <w:div w:id="986401282">
      <w:bodyDiv w:val="1"/>
      <w:marLeft w:val="0"/>
      <w:marRight w:val="0"/>
      <w:marTop w:val="0"/>
      <w:marBottom w:val="0"/>
      <w:divBdr>
        <w:top w:val="none" w:sz="0" w:space="0" w:color="auto"/>
        <w:left w:val="none" w:sz="0" w:space="0" w:color="auto"/>
        <w:bottom w:val="none" w:sz="0" w:space="0" w:color="auto"/>
        <w:right w:val="none" w:sz="0" w:space="0" w:color="auto"/>
      </w:divBdr>
    </w:div>
    <w:div w:id="1206285207">
      <w:bodyDiv w:val="1"/>
      <w:marLeft w:val="0"/>
      <w:marRight w:val="0"/>
      <w:marTop w:val="0"/>
      <w:marBottom w:val="0"/>
      <w:divBdr>
        <w:top w:val="none" w:sz="0" w:space="0" w:color="auto"/>
        <w:left w:val="none" w:sz="0" w:space="0" w:color="auto"/>
        <w:bottom w:val="none" w:sz="0" w:space="0" w:color="auto"/>
        <w:right w:val="none" w:sz="0" w:space="0" w:color="auto"/>
      </w:divBdr>
    </w:div>
    <w:div w:id="1403672089">
      <w:bodyDiv w:val="1"/>
      <w:marLeft w:val="0"/>
      <w:marRight w:val="0"/>
      <w:marTop w:val="0"/>
      <w:marBottom w:val="0"/>
      <w:divBdr>
        <w:top w:val="none" w:sz="0" w:space="0" w:color="auto"/>
        <w:left w:val="none" w:sz="0" w:space="0" w:color="auto"/>
        <w:bottom w:val="none" w:sz="0" w:space="0" w:color="auto"/>
        <w:right w:val="none" w:sz="0" w:space="0" w:color="auto"/>
      </w:divBdr>
    </w:div>
    <w:div w:id="1426926177">
      <w:bodyDiv w:val="1"/>
      <w:marLeft w:val="0"/>
      <w:marRight w:val="0"/>
      <w:marTop w:val="0"/>
      <w:marBottom w:val="0"/>
      <w:divBdr>
        <w:top w:val="none" w:sz="0" w:space="0" w:color="auto"/>
        <w:left w:val="none" w:sz="0" w:space="0" w:color="auto"/>
        <w:bottom w:val="none" w:sz="0" w:space="0" w:color="auto"/>
        <w:right w:val="none" w:sz="0" w:space="0" w:color="auto"/>
      </w:divBdr>
    </w:div>
    <w:div w:id="1471482415">
      <w:bodyDiv w:val="1"/>
      <w:marLeft w:val="0"/>
      <w:marRight w:val="0"/>
      <w:marTop w:val="0"/>
      <w:marBottom w:val="0"/>
      <w:divBdr>
        <w:top w:val="none" w:sz="0" w:space="0" w:color="auto"/>
        <w:left w:val="none" w:sz="0" w:space="0" w:color="auto"/>
        <w:bottom w:val="none" w:sz="0" w:space="0" w:color="auto"/>
        <w:right w:val="none" w:sz="0" w:space="0" w:color="auto"/>
      </w:divBdr>
    </w:div>
    <w:div w:id="1550651827">
      <w:bodyDiv w:val="1"/>
      <w:marLeft w:val="0"/>
      <w:marRight w:val="0"/>
      <w:marTop w:val="0"/>
      <w:marBottom w:val="0"/>
      <w:divBdr>
        <w:top w:val="none" w:sz="0" w:space="0" w:color="auto"/>
        <w:left w:val="none" w:sz="0" w:space="0" w:color="auto"/>
        <w:bottom w:val="none" w:sz="0" w:space="0" w:color="auto"/>
        <w:right w:val="none" w:sz="0" w:space="0" w:color="auto"/>
      </w:divBdr>
    </w:div>
    <w:div w:id="19228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ustice.just.fgov.be/cgi_loi/loi_a1.pl?language=nl&amp;la=N&amp;cn=1867060801&amp;table_name=wet&amp;&amp;caller=list&amp;N&amp;fromtab=wet&amp;tri=dd+AS+RANK&amp;rech=1&amp;numero=1&amp;sql=(text+contains+(%27%27))" TargetMode="External"/><Relationship Id="rId13" Type="http://schemas.openxmlformats.org/officeDocument/2006/relationships/hyperlink" Target="http://www.ejustice.just.fgov.be/cgi_loi/loi_a1.pl?imgcn.x=51&amp;imgcn.y=9&amp;DETAIL=1867060801/F&amp;caller=list&amp;row_id=1&amp;numero=7&amp;rech=14&amp;cn=1867060801&amp;table_name=LOI&amp;nm=1867060850&amp;la=F&amp;chercher=t&amp;dt=CODE+PENAL&amp;language=fr&amp;fr=f&amp;choix1=ET&amp;choix2=ET&amp;fromtab=loi_all&amp;sql=dt+contains++'CODE'%26+'PENAL'and+actif+=+'Y'&amp;tri=dd+AS+RANK+&amp;trier=promulgation" TargetMode="External"/><Relationship Id="rId18" Type="http://schemas.openxmlformats.org/officeDocument/2006/relationships/hyperlink" Target="http://www.ejustice.just.fgov.be/cgi_loi/loi_a1.pl?imgcn.x=51&amp;imgcn.y=9&amp;DETAIL=1867060801/F&amp;caller=list&amp;row_id=1&amp;numero=7&amp;rech=14&amp;cn=1867060801&amp;table_name=LOI&amp;nm=1867060850&amp;la=F&amp;chercher=t&amp;dt=CODE+PENAL&amp;language=fr&amp;fr=f&amp;choix1=ET&amp;choix2=ET&amp;fromtab=loi_all&amp;sql=dt+contains++'CODE'%26+'PENAL'and+actif+=+'Y'&amp;tri=dd+AS+RANK+&amp;trier=promulg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justice.just.fgov.be/cgi_loi/loi_a1.pl?imgcn.x=51&amp;imgcn.y=9&amp;DETAIL=1867060801/F&amp;caller=list&amp;row_id=1&amp;numero=7&amp;rech=14&amp;cn=1867060801&amp;table_name=LOI&amp;nm=1867060850&amp;la=F&amp;chercher=t&amp;dt=CODE+PENAL&amp;language=fr&amp;fr=f&amp;choix1=ET&amp;choix2=ET&amp;fromtab=loi_all&amp;sql=dt+contains++'CODE'%26+'PENAL'and+actif+=+'Y'&amp;tri=dd+AS+RANK+&amp;trier=promulgation" TargetMode="External"/><Relationship Id="rId17" Type="http://schemas.openxmlformats.org/officeDocument/2006/relationships/hyperlink" Target="http://www.ejustice.just.fgov.be/cgi_loi/loi_a1.pl?imgcn.x=51&amp;imgcn.y=9&amp;DETAIL=1867060801/F&amp;caller=list&amp;row_id=1&amp;numero=7&amp;rech=14&amp;cn=1867060801&amp;table_name=LOI&amp;nm=1867060850&amp;la=F&amp;chercher=t&amp;dt=CODE+PENAL&amp;language=fr&amp;fr=f&amp;choix1=ET&amp;choix2=ET&amp;fromtab=loi_all&amp;sql=dt+contains++'CODE'%26+'PENAL'and+actif+=+'Y'&amp;tri=dd+AS+RANK+&amp;trier=promulgation" TargetMode="External"/><Relationship Id="rId2" Type="http://schemas.openxmlformats.org/officeDocument/2006/relationships/numbering" Target="numbering.xml"/><Relationship Id="rId16" Type="http://schemas.openxmlformats.org/officeDocument/2006/relationships/hyperlink" Target="http://www.ejustice.just.fgov.be/cgi_loi/loi_a1.pl?imgcn.x=51&amp;imgcn.y=9&amp;DETAIL=1867060801/F&amp;caller=list&amp;row_id=1&amp;numero=7&amp;rech=14&amp;cn=1867060801&amp;table_name=LOI&amp;nm=1867060850&amp;la=F&amp;chercher=t&amp;dt=CODE+PENAL&amp;language=fr&amp;fr=f&amp;choix1=ET&amp;choix2=ET&amp;fromtab=loi_all&amp;sql=dt+contains++'CODE'%26+'PENAL'and+actif+=+'Y'&amp;tri=dd+AS+RANK+&amp;trier=promulgation" TargetMode="External"/><Relationship Id="rId20" Type="http://schemas.openxmlformats.org/officeDocument/2006/relationships/hyperlink" Target="https://www.ejustice.just.fgov.be/cgi_loi/loi_a1.pl?imgcn.x=49&amp;imgcn.y=2&amp;DETAIL=1964062930%2FN&amp;caller=list&amp;row_id=1&amp;numero=5&amp;rech=20&amp;cn=1964062930&amp;table_name=WET&amp;nm=1964062906&amp;la=N&amp;language=nl&amp;choix1=EN&amp;choix2=EN&amp;fromtab=wet_all&amp;nl=n&amp;sql=dd+%3D+date%271964-06-29%27and+actif+%3D+%27Y%27&amp;ddda=1964&amp;tri=dd+AS+RANK+&amp;trier=afkondiging&amp;dddj=29&amp;dddm=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justice.just.fgov.be/cgi_loi/loi_a1.pl?language=nl&amp;la=N&amp;cn=1867060801&amp;table_name=wet&amp;&amp;caller=list&amp;N&amp;fromtab=wet&amp;tri=dd+AS+RANK&amp;rech=1&amp;numero=1&amp;sql=(text+contains+(%27%2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justice.just.fgov.be/cgi_loi/loi_a1.pl?imgcn.x=51&amp;imgcn.y=9&amp;DETAIL=1867060801/F&amp;caller=list&amp;row_id=1&amp;numero=7&amp;rech=14&amp;cn=1867060801&amp;table_name=LOI&amp;nm=1867060850&amp;la=F&amp;chercher=t&amp;dt=CODE+PENAL&amp;language=fr&amp;fr=f&amp;choix1=ET&amp;choix2=ET&amp;fromtab=loi_all&amp;sql=dt+contains++'CODE'%26+'PENAL'and+actif+=+'Y'&amp;tri=dd+AS+RANK+&amp;trier=promulgation" TargetMode="External"/><Relationship Id="rId23" Type="http://schemas.openxmlformats.org/officeDocument/2006/relationships/fontTable" Target="fontTable.xml"/><Relationship Id="rId10" Type="http://schemas.openxmlformats.org/officeDocument/2006/relationships/hyperlink" Target="https://www.ejustice.just.fgov.be/cgi_loi/loi_a1.pl?language=nl&amp;la=N&amp;cn=1867060801&amp;table_name=wet&amp;&amp;caller=list&amp;N&amp;fromtab=wet&amp;tri=dd+AS+RANK&amp;rech=1&amp;numero=1&amp;sql=(text+contains+(%27%27))" TargetMode="External"/><Relationship Id="rId19" Type="http://schemas.openxmlformats.org/officeDocument/2006/relationships/hyperlink" Target="http://www.ejustice.just.fgov.be/cgi_loi/loi_a1.pl?imgcn.x=51&amp;imgcn.y=9&amp;DETAIL=1867060801/F&amp;caller=list&amp;row_id=1&amp;numero=7&amp;rech=14&amp;cn=1867060801&amp;table_name=LOI&amp;nm=1867060850&amp;la=F&amp;chercher=t&amp;dt=CODE+PENAL&amp;language=fr&amp;fr=f&amp;choix1=ET&amp;choix2=ET&amp;fromtab=loi_all&amp;sql=dt+contains++'CODE'%26+'PENAL'and+actif+=+'Y'&amp;tri=dd+AS+RANK+&amp;trier=promulgation" TargetMode="External"/><Relationship Id="rId4" Type="http://schemas.openxmlformats.org/officeDocument/2006/relationships/settings" Target="settings.xml"/><Relationship Id="rId9" Type="http://schemas.openxmlformats.org/officeDocument/2006/relationships/hyperlink" Target="https://www.ejustice.just.fgov.be/cgi_loi/loi_a1.pl?language=nl&amp;la=N&amp;cn=1867060801&amp;table_name=wet&amp;&amp;caller=list&amp;N&amp;fromtab=wet&amp;tri=dd+AS+RANK&amp;rech=1&amp;numero=1&amp;sql=(text+contains+(%27%27))" TargetMode="External"/><Relationship Id="rId14" Type="http://schemas.openxmlformats.org/officeDocument/2006/relationships/hyperlink" Target="http://www.ejustice.just.fgov.be/cgi_loi/loi_a1.pl?imgcn.x=51&amp;imgcn.y=9&amp;DETAIL=1867060801/F&amp;caller=list&amp;row_id=1&amp;numero=7&amp;rech=14&amp;cn=1867060801&amp;table_name=LOI&amp;nm=1867060850&amp;la=F&amp;chercher=t&amp;dt=CODE+PENAL&amp;language=fr&amp;fr=f&amp;choix1=ET&amp;choix2=ET&amp;fromtab=loi_all&amp;sql=dt+contains++'CODE'%26+'PENAL'and+actif+=+'Y'&amp;tri=dd+AS+RANK+&amp;trier=promulga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justice.just.fgov.be/cgi_loi/loi_a1.pl?imgcn.x=60&amp;imgcn.y=11&amp;DETAIL=1867060801%2FN&amp;caller=list&amp;row_id=1&amp;numero=7&amp;rech=14&amp;cn=1867060801&amp;table_name=WET&amp;nm=1867060850&amp;la=N&amp;dt=STRAFWETBOEK&amp;language=nl&amp;choix1=EN&amp;choix2=EN&amp;fromtab=wet_all&amp;nl=n&amp;sql=dt+contains++%27STRAFWETBOEK%27and+actif+%3D+%27Y%27&amp;tri=dd+AS+RANK+&amp;trier=afkondiging" TargetMode="External"/><Relationship Id="rId1" Type="http://schemas.openxmlformats.org/officeDocument/2006/relationships/hyperlink" Target="https://www.ejustice.just.fgov.be/cgi_loi/loi_a1.pl?imgcn.x=60&amp;imgcn.y=11&amp;DETAIL=1867060801%2FN&amp;caller=list&amp;row_id=1&amp;numero=7&amp;rech=14&amp;cn=1867060801&amp;table_name=WET&amp;nm=1867060850&amp;la=N&amp;dt=STRAFWETBOEK&amp;language=nl&amp;choix1=EN&amp;choix2=EN&amp;fromtab=wet_all&amp;nl=n&amp;sql=dt+contains++%27STRAFWETBOEK%27and+actif+%3D+%27Y%27&amp;tri=dd+AS+RANK+&amp;trier=afkondig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F303-5D16-41DB-9236-9C87E8EC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30561</Words>
  <Characters>174198</Characters>
  <Application>Microsoft Office Word</Application>
  <DocSecurity>0</DocSecurity>
  <Lines>1451</Lines>
  <Paragraphs>408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FOD Justitie / SPF Justice</Company>
  <LinksUpToDate>false</LinksUpToDate>
  <CharactersWithSpaces>204351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Laouar Nadia</dc:creator>
  <cp:keywords/>
  <dc:description/>
  <cp:lastModifiedBy>M'Sadek Cyrine</cp:lastModifiedBy>
  <cp:revision>35</cp:revision>
  <cp:lastPrinted>2022-06-09T14:12:00Z</cp:lastPrinted>
  <dcterms:created xsi:type="dcterms:W3CDTF">2022-06-09T12:41:00Z</dcterms:created>
  <dcterms:modified xsi:type="dcterms:W3CDTF">2022-06-09T14:35:00Z</dcterms:modified>
</cp:coreProperties>
</file>